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12" w:rsidRPr="00FA2571" w:rsidRDefault="00311AE3" w:rsidP="00FA2571">
      <w:pPr>
        <w:spacing w:line="360" w:lineRule="auto"/>
        <w:jc w:val="center"/>
        <w:rPr>
          <w:rFonts w:ascii="Times New Roman" w:hAnsi="Times New Roman" w:cs="Times New Roman"/>
          <w:sz w:val="24"/>
          <w:szCs w:val="24"/>
        </w:rPr>
      </w:pPr>
      <w:bookmarkStart w:id="0" w:name="_GoBack"/>
      <w:bookmarkEnd w:id="0"/>
      <w:r w:rsidRPr="00FA2571">
        <w:rPr>
          <w:rFonts w:ascii="Times New Roman" w:hAnsi="Times New Roman" w:cs="Times New Roman"/>
          <w:sz w:val="24"/>
          <w:szCs w:val="24"/>
        </w:rPr>
        <w:t>LE RADICI DELLA CRISI EUROPEA TRA TRADIMENTI E SPERANZE</w:t>
      </w:r>
    </w:p>
    <w:p w:rsidR="00311AE3" w:rsidRPr="00FA2571" w:rsidRDefault="00311AE3" w:rsidP="00FA2571">
      <w:pPr>
        <w:spacing w:line="360" w:lineRule="auto"/>
        <w:jc w:val="center"/>
        <w:rPr>
          <w:rFonts w:ascii="Times New Roman" w:hAnsi="Times New Roman" w:cs="Times New Roman"/>
          <w:sz w:val="24"/>
          <w:szCs w:val="24"/>
        </w:rPr>
      </w:pPr>
      <w:r w:rsidRPr="00FA2571">
        <w:rPr>
          <w:rFonts w:ascii="Times New Roman" w:hAnsi="Times New Roman" w:cs="Times New Roman"/>
          <w:sz w:val="24"/>
          <w:szCs w:val="24"/>
        </w:rPr>
        <w:t>Traccia della relazione di Stefano Zamagni</w:t>
      </w:r>
    </w:p>
    <w:p w:rsidR="00311AE3" w:rsidRPr="00FA2571" w:rsidRDefault="00311AE3" w:rsidP="003E47BD">
      <w:pPr>
        <w:spacing w:line="360" w:lineRule="auto"/>
        <w:jc w:val="both"/>
        <w:rPr>
          <w:rFonts w:ascii="Times New Roman" w:hAnsi="Times New Roman" w:cs="Times New Roman"/>
          <w:sz w:val="24"/>
          <w:szCs w:val="24"/>
        </w:rPr>
      </w:pPr>
    </w:p>
    <w:p w:rsidR="003E47BD" w:rsidRPr="003E47BD" w:rsidRDefault="003E47BD" w:rsidP="00953783">
      <w:pPr>
        <w:pStyle w:val="Paragrafoelenco"/>
        <w:numPr>
          <w:ilvl w:val="0"/>
          <w:numId w:val="7"/>
        </w:numPr>
        <w:spacing w:after="0" w:line="360" w:lineRule="auto"/>
        <w:jc w:val="both"/>
        <w:rPr>
          <w:rFonts w:ascii="Times New Roman" w:hAnsi="Times New Roman" w:cs="Times New Roman"/>
          <w:sz w:val="24"/>
          <w:szCs w:val="24"/>
        </w:rPr>
      </w:pPr>
      <w:r w:rsidRPr="003E47BD">
        <w:rPr>
          <w:rFonts w:ascii="Times New Roman" w:hAnsi="Times New Roman" w:cs="Times New Roman"/>
          <w:sz w:val="24"/>
          <w:szCs w:val="24"/>
        </w:rPr>
        <w:t xml:space="preserve"> </w:t>
      </w:r>
      <w:r w:rsidR="00953783">
        <w:rPr>
          <w:rFonts w:ascii="Times New Roman" w:hAnsi="Times New Roman" w:cs="Times New Roman"/>
          <w:sz w:val="24"/>
          <w:szCs w:val="24"/>
        </w:rPr>
        <w:t xml:space="preserve">   </w:t>
      </w:r>
      <w:r w:rsidR="00311AE3" w:rsidRPr="003E47BD">
        <w:rPr>
          <w:rFonts w:ascii="Times New Roman" w:hAnsi="Times New Roman" w:cs="Times New Roman"/>
          <w:sz w:val="24"/>
          <w:szCs w:val="24"/>
        </w:rPr>
        <w:t xml:space="preserve">Parlare, </w:t>
      </w:r>
      <w:r w:rsidR="008D6FCE">
        <w:rPr>
          <w:rFonts w:ascii="Times New Roman" w:hAnsi="Times New Roman" w:cs="Times New Roman"/>
          <w:sz w:val="24"/>
          <w:szCs w:val="24"/>
        </w:rPr>
        <w:t xml:space="preserve"> </w:t>
      </w:r>
      <w:r w:rsidR="00311AE3" w:rsidRPr="003E47BD">
        <w:rPr>
          <w:rFonts w:ascii="Times New Roman" w:hAnsi="Times New Roman" w:cs="Times New Roman"/>
          <w:sz w:val="24"/>
          <w:szCs w:val="24"/>
        </w:rPr>
        <w:t xml:space="preserve">oggi, </w:t>
      </w:r>
      <w:r w:rsidR="008D6FCE">
        <w:rPr>
          <w:rFonts w:ascii="Times New Roman" w:hAnsi="Times New Roman" w:cs="Times New Roman"/>
          <w:sz w:val="24"/>
          <w:szCs w:val="24"/>
        </w:rPr>
        <w:t xml:space="preserve"> </w:t>
      </w:r>
      <w:r w:rsidR="00311AE3" w:rsidRPr="003E47BD">
        <w:rPr>
          <w:rFonts w:ascii="Times New Roman" w:hAnsi="Times New Roman" w:cs="Times New Roman"/>
          <w:sz w:val="24"/>
          <w:szCs w:val="24"/>
        </w:rPr>
        <w:t xml:space="preserve">dei problemi </w:t>
      </w:r>
      <w:r w:rsidR="008D6FCE">
        <w:rPr>
          <w:rFonts w:ascii="Times New Roman" w:hAnsi="Times New Roman" w:cs="Times New Roman"/>
          <w:sz w:val="24"/>
          <w:szCs w:val="24"/>
        </w:rPr>
        <w:t xml:space="preserve"> </w:t>
      </w:r>
      <w:r w:rsidR="00311AE3" w:rsidRPr="003E47BD">
        <w:rPr>
          <w:rFonts w:ascii="Times New Roman" w:hAnsi="Times New Roman" w:cs="Times New Roman"/>
          <w:sz w:val="24"/>
          <w:szCs w:val="24"/>
        </w:rPr>
        <w:t xml:space="preserve">dell’integrazione </w:t>
      </w:r>
      <w:r w:rsidR="008D6FCE">
        <w:rPr>
          <w:rFonts w:ascii="Times New Roman" w:hAnsi="Times New Roman" w:cs="Times New Roman"/>
          <w:sz w:val="24"/>
          <w:szCs w:val="24"/>
        </w:rPr>
        <w:t xml:space="preserve"> </w:t>
      </w:r>
      <w:r w:rsidR="00311AE3" w:rsidRPr="003E47BD">
        <w:rPr>
          <w:rFonts w:ascii="Times New Roman" w:hAnsi="Times New Roman" w:cs="Times New Roman"/>
          <w:sz w:val="24"/>
          <w:szCs w:val="24"/>
        </w:rPr>
        <w:t xml:space="preserve">europea </w:t>
      </w:r>
      <w:r w:rsidR="008D6FCE">
        <w:rPr>
          <w:rFonts w:ascii="Times New Roman" w:hAnsi="Times New Roman" w:cs="Times New Roman"/>
          <w:sz w:val="24"/>
          <w:szCs w:val="24"/>
        </w:rPr>
        <w:t xml:space="preserve"> </w:t>
      </w:r>
      <w:r w:rsidR="00311AE3" w:rsidRPr="003E47BD">
        <w:rPr>
          <w:rFonts w:ascii="Times New Roman" w:hAnsi="Times New Roman" w:cs="Times New Roman"/>
          <w:sz w:val="24"/>
          <w:szCs w:val="24"/>
        </w:rPr>
        <w:t>e d</w:t>
      </w:r>
      <w:r w:rsidR="00953783">
        <w:rPr>
          <w:rFonts w:ascii="Times New Roman" w:hAnsi="Times New Roman" w:cs="Times New Roman"/>
          <w:sz w:val="24"/>
          <w:szCs w:val="24"/>
        </w:rPr>
        <w:t xml:space="preserve">ei mali </w:t>
      </w:r>
      <w:r w:rsidR="008D6FCE">
        <w:rPr>
          <w:rFonts w:ascii="Times New Roman" w:hAnsi="Times New Roman" w:cs="Times New Roman"/>
          <w:sz w:val="24"/>
          <w:szCs w:val="24"/>
        </w:rPr>
        <w:t xml:space="preserve"> </w:t>
      </w:r>
      <w:r w:rsidR="00953783">
        <w:rPr>
          <w:rFonts w:ascii="Times New Roman" w:hAnsi="Times New Roman" w:cs="Times New Roman"/>
          <w:sz w:val="24"/>
          <w:szCs w:val="24"/>
        </w:rPr>
        <w:t>che affliggono</w:t>
      </w:r>
      <w:r w:rsidRPr="003E47BD">
        <w:rPr>
          <w:rFonts w:ascii="Times New Roman" w:hAnsi="Times New Roman" w:cs="Times New Roman"/>
          <w:sz w:val="24"/>
          <w:szCs w:val="24"/>
        </w:rPr>
        <w:t xml:space="preserve"> il vecchio</w:t>
      </w:r>
    </w:p>
    <w:p w:rsidR="00311AE3" w:rsidRPr="003E47BD" w:rsidRDefault="00311AE3" w:rsidP="00953783">
      <w:pPr>
        <w:spacing w:after="0" w:line="360" w:lineRule="auto"/>
        <w:ind w:left="60"/>
        <w:jc w:val="both"/>
        <w:rPr>
          <w:rFonts w:ascii="Times New Roman" w:hAnsi="Times New Roman" w:cs="Times New Roman"/>
          <w:sz w:val="24"/>
          <w:szCs w:val="24"/>
        </w:rPr>
      </w:pPr>
      <w:r w:rsidRPr="003E47BD">
        <w:rPr>
          <w:rFonts w:ascii="Times New Roman" w:hAnsi="Times New Roman" w:cs="Times New Roman"/>
          <w:sz w:val="24"/>
          <w:szCs w:val="24"/>
        </w:rPr>
        <w:t>continente sarebbe come portare vasi a Samo, tanta è l’attenzione che, nei più disperati luoghi, viene ad essi rivolta. Preferisco allora volgere l’attenzione alle cause remote – non prossime – dell’attuale crisi europea e ciò allo scopo di far emergere una possibile via di uscita dalla stessa. Per ovvie ragione di spazio, procederò in modo apodittico.</w:t>
      </w:r>
    </w:p>
    <w:p w:rsidR="00311AE3" w:rsidRPr="00FA2571" w:rsidRDefault="00311AE3"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Al termine del secondo conflitto mondiale, iniziano a confrontarsi, nell’arena pubblica, due grandi dottrine e strategie politiche: da un lato, il federalismo, dall’altro l’internazionalismo. La posizione federalista era chiara: per unire l’Europa occorreva costituire, dapprima, un governo sovranazionale e poi procedere all’integrazione dei mercati – del lavoro, dei capitali, dei beni e servizi. Per gli internazionalisti, invece, era sufficiente ripristinare l’antico ordine liberale basato sul principio </w:t>
      </w:r>
      <w:r w:rsidR="00953783">
        <w:rPr>
          <w:rFonts w:ascii="Times New Roman" w:hAnsi="Times New Roman" w:cs="Times New Roman"/>
          <w:sz w:val="24"/>
          <w:szCs w:val="24"/>
        </w:rPr>
        <w:t xml:space="preserve">del libero scambio per poter </w:t>
      </w:r>
      <w:r w:rsidRPr="00FA2571">
        <w:rPr>
          <w:rFonts w:ascii="Times New Roman" w:hAnsi="Times New Roman" w:cs="Times New Roman"/>
          <w:sz w:val="24"/>
          <w:szCs w:val="24"/>
        </w:rPr>
        <w:t xml:space="preserve">giungere ad un’Europa di stati nazionali che, senza cessione alcuna di sovranità, sarebbero </w:t>
      </w:r>
      <w:r w:rsidR="00953783">
        <w:rPr>
          <w:rFonts w:ascii="Times New Roman" w:hAnsi="Times New Roman" w:cs="Times New Roman"/>
          <w:sz w:val="24"/>
          <w:szCs w:val="24"/>
        </w:rPr>
        <w:t xml:space="preserve">riusciti a </w:t>
      </w:r>
      <w:r w:rsidRPr="00FA2571">
        <w:rPr>
          <w:rFonts w:ascii="Times New Roman" w:hAnsi="Times New Roman" w:cs="Times New Roman"/>
          <w:sz w:val="24"/>
          <w:szCs w:val="24"/>
        </w:rPr>
        <w:t>convivere in modo pacifico e prosperoso. Alla fine, però</w:t>
      </w:r>
      <w:r w:rsidR="00953783">
        <w:rPr>
          <w:rFonts w:ascii="Times New Roman" w:hAnsi="Times New Roman" w:cs="Times New Roman"/>
          <w:sz w:val="24"/>
          <w:szCs w:val="24"/>
        </w:rPr>
        <w:t>,</w:t>
      </w:r>
      <w:r w:rsidRPr="00FA2571">
        <w:rPr>
          <w:rFonts w:ascii="Times New Roman" w:hAnsi="Times New Roman" w:cs="Times New Roman"/>
          <w:sz w:val="24"/>
          <w:szCs w:val="24"/>
        </w:rPr>
        <w:t xml:space="preserve"> prevalse una terza posizione dottrinale, quella del funzionalismo. Secondo una tale linea di pensiero - sostenuta da figure </w:t>
      </w:r>
      <w:r w:rsidR="00953783">
        <w:rPr>
          <w:rFonts w:ascii="Times New Roman" w:hAnsi="Times New Roman" w:cs="Times New Roman"/>
          <w:sz w:val="24"/>
          <w:szCs w:val="24"/>
        </w:rPr>
        <w:t>autor</w:t>
      </w:r>
      <w:r w:rsidRPr="00FA2571">
        <w:rPr>
          <w:rFonts w:ascii="Times New Roman" w:hAnsi="Times New Roman" w:cs="Times New Roman"/>
          <w:sz w:val="24"/>
          <w:szCs w:val="24"/>
        </w:rPr>
        <w:t>evoli come quelle di Monnet e Schuman – occorreva bensì mirare all’unità politica dell</w:t>
      </w:r>
      <w:r w:rsidR="00953783">
        <w:rPr>
          <w:rFonts w:ascii="Times New Roman" w:hAnsi="Times New Roman" w:cs="Times New Roman"/>
          <w:sz w:val="24"/>
          <w:szCs w:val="24"/>
        </w:rPr>
        <w:t xml:space="preserve">’Europa – come desiderato dai federalisti - </w:t>
      </w:r>
      <w:r w:rsidRPr="00FA2571">
        <w:rPr>
          <w:rFonts w:ascii="Times New Roman" w:hAnsi="Times New Roman" w:cs="Times New Roman"/>
          <w:sz w:val="24"/>
          <w:szCs w:val="24"/>
        </w:rPr>
        <w:t>ma a ciò si sarebbe dovuti arrivare al termine di un processo di progressiva integrazione economica e finanziaria. Dunque, prima il mercato unico, poi l’unione monetaria; infine l’unione fiscale.</w:t>
      </w:r>
    </w:p>
    <w:p w:rsidR="00311AE3" w:rsidRPr="00FA2571" w:rsidRDefault="00953783" w:rsidP="003E47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Jacques De</w:t>
      </w:r>
      <w:r w:rsidR="00662AE4" w:rsidRPr="00FA2571">
        <w:rPr>
          <w:rFonts w:ascii="Times New Roman" w:hAnsi="Times New Roman" w:cs="Times New Roman"/>
          <w:sz w:val="24"/>
          <w:szCs w:val="24"/>
        </w:rPr>
        <w:t xml:space="preserve">lors, </w:t>
      </w:r>
      <w:r w:rsidR="00E340F3" w:rsidRPr="00FA2571">
        <w:rPr>
          <w:rFonts w:ascii="Times New Roman" w:hAnsi="Times New Roman" w:cs="Times New Roman"/>
          <w:sz w:val="24"/>
          <w:szCs w:val="24"/>
        </w:rPr>
        <w:t xml:space="preserve">pur riconoscendosi nella strategia funzionalista, pubblicava nel 1989, al termine del suo mandato come presidente della Commissione Europea, un importante documento – il cosiddetto </w:t>
      </w:r>
      <w:r>
        <w:rPr>
          <w:rFonts w:ascii="Times New Roman" w:hAnsi="Times New Roman" w:cs="Times New Roman"/>
          <w:sz w:val="24"/>
          <w:szCs w:val="24"/>
        </w:rPr>
        <w:t>“Rapporto De</w:t>
      </w:r>
      <w:r w:rsidR="00E340F3" w:rsidRPr="00FA2571">
        <w:rPr>
          <w:rFonts w:ascii="Times New Roman" w:hAnsi="Times New Roman" w:cs="Times New Roman"/>
          <w:sz w:val="24"/>
          <w:szCs w:val="24"/>
        </w:rPr>
        <w:t>lors” – nel quale raccomandava quali scelte si sarebbero dovute operare per assicurare che il processo di convergenza verso l’auspicata unione politica europea avveni</w:t>
      </w:r>
      <w:r>
        <w:rPr>
          <w:rFonts w:ascii="Times New Roman" w:hAnsi="Times New Roman" w:cs="Times New Roman"/>
          <w:sz w:val="24"/>
          <w:szCs w:val="24"/>
        </w:rPr>
        <w:t>sse nel rispetto d</w:t>
      </w:r>
      <w:r w:rsidR="00E340F3" w:rsidRPr="00FA2571">
        <w:rPr>
          <w:rFonts w:ascii="Times New Roman" w:hAnsi="Times New Roman" w:cs="Times New Roman"/>
          <w:sz w:val="24"/>
          <w:szCs w:val="24"/>
        </w:rPr>
        <w:t>i</w:t>
      </w:r>
      <w:r>
        <w:rPr>
          <w:rFonts w:ascii="Times New Roman" w:hAnsi="Times New Roman" w:cs="Times New Roman"/>
          <w:sz w:val="24"/>
          <w:szCs w:val="24"/>
        </w:rPr>
        <w:t xml:space="preserve"> quei </w:t>
      </w:r>
      <w:r w:rsidR="00E340F3" w:rsidRPr="00FA2571">
        <w:rPr>
          <w:rFonts w:ascii="Times New Roman" w:hAnsi="Times New Roman" w:cs="Times New Roman"/>
          <w:sz w:val="24"/>
          <w:szCs w:val="24"/>
        </w:rPr>
        <w:t xml:space="preserve"> principi guida che i padri fondatori avevano delineato già a partire dagli anni Cinquanta. E’ accaduto, invece, che il testo del Trattato di Maastricht – firmato nel 1992 – sostanzialmente ha disatteso e ribaltato le raccomandazioni di quel </w:t>
      </w:r>
      <w:r>
        <w:rPr>
          <w:rFonts w:ascii="Times New Roman" w:hAnsi="Times New Roman" w:cs="Times New Roman"/>
          <w:sz w:val="24"/>
          <w:szCs w:val="24"/>
        </w:rPr>
        <w:t>Rapporto. Quattro sono stati</w:t>
      </w:r>
      <w:r w:rsidR="00E340F3" w:rsidRPr="00FA2571">
        <w:rPr>
          <w:rFonts w:ascii="Times New Roman" w:hAnsi="Times New Roman" w:cs="Times New Roman"/>
          <w:sz w:val="24"/>
          <w:szCs w:val="24"/>
        </w:rPr>
        <w:t xml:space="preserve"> i principali terreni di scontro </w:t>
      </w:r>
      <w:r>
        <w:rPr>
          <w:rFonts w:ascii="Times New Roman" w:hAnsi="Times New Roman" w:cs="Times New Roman"/>
          <w:sz w:val="24"/>
          <w:szCs w:val="24"/>
        </w:rPr>
        <w:t xml:space="preserve">emessi </w:t>
      </w:r>
      <w:r w:rsidR="00E340F3" w:rsidRPr="00FA2571">
        <w:rPr>
          <w:rFonts w:ascii="Times New Roman" w:hAnsi="Times New Roman" w:cs="Times New Roman"/>
          <w:sz w:val="24"/>
          <w:szCs w:val="24"/>
        </w:rPr>
        <w:t>durante i lavori preparatori del Trattato medesimo</w:t>
      </w:r>
      <w:r>
        <w:rPr>
          <w:rFonts w:ascii="Times New Roman" w:hAnsi="Times New Roman" w:cs="Times New Roman"/>
          <w:sz w:val="24"/>
          <w:szCs w:val="24"/>
        </w:rPr>
        <w:t xml:space="preserve"> – scontri che hanno visto la vittoria di posizioni contrarie a quelle suggerite da Delors</w:t>
      </w:r>
      <w:r w:rsidR="00E340F3" w:rsidRPr="00FA2571">
        <w:rPr>
          <w:rFonts w:ascii="Times New Roman" w:hAnsi="Times New Roman" w:cs="Times New Roman"/>
          <w:sz w:val="24"/>
          <w:szCs w:val="24"/>
        </w:rPr>
        <w:t>.</w:t>
      </w:r>
      <w:r>
        <w:rPr>
          <w:rFonts w:ascii="Times New Roman" w:hAnsi="Times New Roman" w:cs="Times New Roman"/>
          <w:sz w:val="24"/>
          <w:szCs w:val="24"/>
        </w:rPr>
        <w:t xml:space="preserve"> </w:t>
      </w:r>
    </w:p>
    <w:p w:rsidR="00E340F3" w:rsidRPr="00FA2571" w:rsidRDefault="00E340F3" w:rsidP="003E47BD">
      <w:pPr>
        <w:spacing w:line="360" w:lineRule="auto"/>
        <w:jc w:val="both"/>
        <w:rPr>
          <w:rFonts w:ascii="Times New Roman" w:hAnsi="Times New Roman" w:cs="Times New Roman"/>
          <w:sz w:val="24"/>
          <w:szCs w:val="24"/>
        </w:rPr>
      </w:pPr>
    </w:p>
    <w:p w:rsidR="00953783" w:rsidRDefault="00953783" w:rsidP="00953783">
      <w:pPr>
        <w:pStyle w:val="Paragrafoelenco"/>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0F3" w:rsidRPr="00953783">
        <w:rPr>
          <w:rFonts w:ascii="Times New Roman" w:hAnsi="Times New Roman" w:cs="Times New Roman"/>
          <w:sz w:val="24"/>
          <w:szCs w:val="24"/>
        </w:rPr>
        <w:t>Il primo fronte ha visto l’opposizione tra monetaristi e realis</w:t>
      </w:r>
      <w:r>
        <w:rPr>
          <w:rFonts w:ascii="Times New Roman" w:hAnsi="Times New Roman" w:cs="Times New Roman"/>
          <w:sz w:val="24"/>
          <w:szCs w:val="24"/>
        </w:rPr>
        <w:t>ti. Vincono i primi: ci sarebbe</w:t>
      </w:r>
    </w:p>
    <w:p w:rsidR="00FD4334" w:rsidRPr="00953783" w:rsidRDefault="00E340F3" w:rsidP="00953783">
      <w:pPr>
        <w:spacing w:after="0" w:line="360" w:lineRule="auto"/>
        <w:ind w:left="60"/>
        <w:jc w:val="both"/>
        <w:rPr>
          <w:rFonts w:ascii="Times New Roman" w:hAnsi="Times New Roman" w:cs="Times New Roman"/>
          <w:sz w:val="24"/>
          <w:szCs w:val="24"/>
        </w:rPr>
      </w:pPr>
      <w:r w:rsidRPr="00953783">
        <w:rPr>
          <w:rFonts w:ascii="Times New Roman" w:hAnsi="Times New Roman" w:cs="Times New Roman"/>
          <w:sz w:val="24"/>
          <w:szCs w:val="24"/>
        </w:rPr>
        <w:lastRenderedPageBreak/>
        <w:t xml:space="preserve">voluto troppo tempo – sostennero </w:t>
      </w:r>
      <w:r w:rsidR="00953783">
        <w:rPr>
          <w:rFonts w:ascii="Times New Roman" w:hAnsi="Times New Roman" w:cs="Times New Roman"/>
          <w:sz w:val="24"/>
          <w:szCs w:val="24"/>
        </w:rPr>
        <w:t xml:space="preserve">costoro </w:t>
      </w:r>
      <w:r w:rsidRPr="00953783">
        <w:rPr>
          <w:rFonts w:ascii="Times New Roman" w:hAnsi="Times New Roman" w:cs="Times New Roman"/>
          <w:sz w:val="24"/>
          <w:szCs w:val="24"/>
        </w:rPr>
        <w:t xml:space="preserve">– per giungere all’armonizzazione delle politiche industriali, agricole, sociali dei vari paesi. Meglio dunque procedere subito con l’unione monetaria – l’euro nasce il 1° gennaio 2002. Decisione questa che non trovava sostegno nella scienza economica, perché come </w:t>
      </w:r>
      <w:r w:rsidR="00953783">
        <w:rPr>
          <w:rFonts w:ascii="Times New Roman" w:hAnsi="Times New Roman" w:cs="Times New Roman"/>
          <w:sz w:val="24"/>
          <w:szCs w:val="24"/>
        </w:rPr>
        <w:t xml:space="preserve"> il premio Nobel dell’economia </w:t>
      </w:r>
      <w:r w:rsidRPr="00953783">
        <w:rPr>
          <w:rFonts w:ascii="Times New Roman" w:hAnsi="Times New Roman" w:cs="Times New Roman"/>
          <w:sz w:val="24"/>
          <w:szCs w:val="24"/>
        </w:rPr>
        <w:t>Robert Mundell da tempo aveva dimostrato, un’unione monetaria può funzionare senza unione fiscale solamente in assenza di choc asimmetrici, va</w:t>
      </w:r>
      <w:r w:rsidR="00953783">
        <w:rPr>
          <w:rFonts w:ascii="Times New Roman" w:hAnsi="Times New Roman" w:cs="Times New Roman"/>
          <w:sz w:val="24"/>
          <w:szCs w:val="24"/>
        </w:rPr>
        <w:t>le a dire solamente nella alt</w:t>
      </w:r>
      <w:r w:rsidRPr="00953783">
        <w:rPr>
          <w:rFonts w:ascii="Times New Roman" w:hAnsi="Times New Roman" w:cs="Times New Roman"/>
          <w:sz w:val="24"/>
          <w:szCs w:val="24"/>
        </w:rPr>
        <w:t>a</w:t>
      </w:r>
      <w:r w:rsidR="00953783">
        <w:rPr>
          <w:rFonts w:ascii="Times New Roman" w:hAnsi="Times New Roman" w:cs="Times New Roman"/>
          <w:sz w:val="24"/>
          <w:szCs w:val="24"/>
        </w:rPr>
        <w:t>me</w:t>
      </w:r>
      <w:r w:rsidRPr="00953783">
        <w:rPr>
          <w:rFonts w:ascii="Times New Roman" w:hAnsi="Times New Roman" w:cs="Times New Roman"/>
          <w:sz w:val="24"/>
          <w:szCs w:val="24"/>
        </w:rPr>
        <w:t>nte improbabile situazione in</w:t>
      </w:r>
      <w:r w:rsidR="00FD4334" w:rsidRPr="00953783">
        <w:rPr>
          <w:rFonts w:ascii="Times New Roman" w:hAnsi="Times New Roman" w:cs="Times New Roman"/>
          <w:sz w:val="24"/>
          <w:szCs w:val="24"/>
        </w:rPr>
        <w:t xml:space="preserve"> cui tutte</w:t>
      </w:r>
      <w:r w:rsidRPr="00953783">
        <w:rPr>
          <w:rFonts w:ascii="Times New Roman" w:hAnsi="Times New Roman" w:cs="Times New Roman"/>
          <w:sz w:val="24"/>
          <w:szCs w:val="24"/>
        </w:rPr>
        <w:t xml:space="preserve"> le economie nazionali</w:t>
      </w:r>
      <w:r w:rsidR="00953783">
        <w:rPr>
          <w:rFonts w:ascii="Times New Roman" w:hAnsi="Times New Roman" w:cs="Times New Roman"/>
          <w:sz w:val="24"/>
          <w:szCs w:val="24"/>
        </w:rPr>
        <w:t xml:space="preserve"> attraversasser</w:t>
      </w:r>
      <w:r w:rsidR="00FD4334" w:rsidRPr="00953783">
        <w:rPr>
          <w:rFonts w:ascii="Times New Roman" w:hAnsi="Times New Roman" w:cs="Times New Roman"/>
          <w:sz w:val="24"/>
          <w:szCs w:val="24"/>
        </w:rPr>
        <w:t xml:space="preserve">o la stessa fase del ciclo economico. Se invece un’area attraversa una fase espansiva ed un’altra area </w:t>
      </w:r>
      <w:r w:rsidR="00953783">
        <w:rPr>
          <w:rFonts w:ascii="Times New Roman" w:hAnsi="Times New Roman" w:cs="Times New Roman"/>
          <w:sz w:val="24"/>
          <w:szCs w:val="24"/>
        </w:rPr>
        <w:t>una fase r</w:t>
      </w:r>
      <w:r w:rsidR="00FD4334" w:rsidRPr="00953783">
        <w:rPr>
          <w:rFonts w:ascii="Times New Roman" w:hAnsi="Times New Roman" w:cs="Times New Roman"/>
          <w:sz w:val="24"/>
          <w:szCs w:val="24"/>
        </w:rPr>
        <w:t>e</w:t>
      </w:r>
      <w:r w:rsidR="00953783">
        <w:rPr>
          <w:rFonts w:ascii="Times New Roman" w:hAnsi="Times New Roman" w:cs="Times New Roman"/>
          <w:sz w:val="24"/>
          <w:szCs w:val="24"/>
        </w:rPr>
        <w:t>cess</w:t>
      </w:r>
      <w:r w:rsidR="00FD4334" w:rsidRPr="00953783">
        <w:rPr>
          <w:rFonts w:ascii="Times New Roman" w:hAnsi="Times New Roman" w:cs="Times New Roman"/>
          <w:sz w:val="24"/>
          <w:szCs w:val="24"/>
        </w:rPr>
        <w:t>i</w:t>
      </w:r>
      <w:r w:rsidR="00953783">
        <w:rPr>
          <w:rFonts w:ascii="Times New Roman" w:hAnsi="Times New Roman" w:cs="Times New Roman"/>
          <w:sz w:val="24"/>
          <w:szCs w:val="24"/>
        </w:rPr>
        <w:t>v</w:t>
      </w:r>
      <w:r w:rsidR="00FD4334" w:rsidRPr="00953783">
        <w:rPr>
          <w:rFonts w:ascii="Times New Roman" w:hAnsi="Times New Roman" w:cs="Times New Roman"/>
          <w:sz w:val="24"/>
          <w:szCs w:val="24"/>
        </w:rPr>
        <w:t xml:space="preserve">a, l’assenza di </w:t>
      </w:r>
      <w:r w:rsidR="00953783">
        <w:rPr>
          <w:rFonts w:ascii="Times New Roman" w:hAnsi="Times New Roman" w:cs="Times New Roman"/>
          <w:sz w:val="24"/>
          <w:szCs w:val="24"/>
        </w:rPr>
        <w:t>un’</w:t>
      </w:r>
      <w:r w:rsidR="00FD4334" w:rsidRPr="00953783">
        <w:rPr>
          <w:rFonts w:ascii="Times New Roman" w:hAnsi="Times New Roman" w:cs="Times New Roman"/>
          <w:sz w:val="24"/>
          <w:szCs w:val="24"/>
        </w:rPr>
        <w:t xml:space="preserve">unione fiscale non fa che accrescere le distanze tra le stesse – come </w:t>
      </w:r>
      <w:r w:rsidR="00953783">
        <w:rPr>
          <w:rFonts w:ascii="Times New Roman" w:hAnsi="Times New Roman" w:cs="Times New Roman"/>
          <w:sz w:val="24"/>
          <w:szCs w:val="24"/>
        </w:rPr>
        <w:t>oggi stiamo tristemente speriment</w:t>
      </w:r>
      <w:r w:rsidR="00FD4334" w:rsidRPr="00953783">
        <w:rPr>
          <w:rFonts w:ascii="Times New Roman" w:hAnsi="Times New Roman" w:cs="Times New Roman"/>
          <w:sz w:val="24"/>
          <w:szCs w:val="24"/>
        </w:rPr>
        <w:t xml:space="preserve">ando. </w:t>
      </w:r>
    </w:p>
    <w:p w:rsidR="00E340F3" w:rsidRPr="00FA2571" w:rsidRDefault="00FD4334"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Il secondo fronte ha avuto per oggetto l’alternativa tra </w:t>
      </w:r>
      <w:r w:rsidRPr="00FA2571">
        <w:rPr>
          <w:rFonts w:ascii="Times New Roman" w:hAnsi="Times New Roman" w:cs="Times New Roman"/>
          <w:i/>
          <w:sz w:val="24"/>
          <w:szCs w:val="24"/>
        </w:rPr>
        <w:t xml:space="preserve">government </w:t>
      </w:r>
      <w:r w:rsidRPr="00FA2571">
        <w:rPr>
          <w:rFonts w:ascii="Times New Roman" w:hAnsi="Times New Roman" w:cs="Times New Roman"/>
          <w:sz w:val="24"/>
          <w:szCs w:val="24"/>
        </w:rPr>
        <w:t xml:space="preserve"> e </w:t>
      </w:r>
      <w:r w:rsidRPr="00FA2571">
        <w:rPr>
          <w:rFonts w:ascii="Times New Roman" w:hAnsi="Times New Roman" w:cs="Times New Roman"/>
          <w:i/>
          <w:sz w:val="24"/>
          <w:szCs w:val="24"/>
        </w:rPr>
        <w:t>governance</w:t>
      </w:r>
      <w:r w:rsidRPr="00FA2571">
        <w:rPr>
          <w:rFonts w:ascii="Times New Roman" w:hAnsi="Times New Roman" w:cs="Times New Roman"/>
          <w:sz w:val="24"/>
          <w:szCs w:val="24"/>
        </w:rPr>
        <w:t>. Chi deve guidare il processo di unificazione europea: i politici oppure i tecno-burocrati?</w:t>
      </w:r>
      <w:r w:rsidR="00E340F3" w:rsidRPr="00FA2571">
        <w:rPr>
          <w:rFonts w:ascii="Times New Roman" w:hAnsi="Times New Roman" w:cs="Times New Roman"/>
          <w:sz w:val="24"/>
          <w:szCs w:val="24"/>
        </w:rPr>
        <w:t xml:space="preserve"> </w:t>
      </w:r>
      <w:r w:rsidRPr="00FA2571">
        <w:rPr>
          <w:rFonts w:ascii="Times New Roman" w:hAnsi="Times New Roman" w:cs="Times New Roman"/>
          <w:sz w:val="24"/>
          <w:szCs w:val="24"/>
        </w:rPr>
        <w:t xml:space="preserve">Soggetti espressione di volontà politica oppure </w:t>
      </w:r>
      <w:r w:rsidR="00953783">
        <w:rPr>
          <w:rFonts w:ascii="Times New Roman" w:hAnsi="Times New Roman" w:cs="Times New Roman"/>
          <w:sz w:val="24"/>
          <w:szCs w:val="24"/>
        </w:rPr>
        <w:t xml:space="preserve">di </w:t>
      </w:r>
      <w:r w:rsidRPr="00FA2571">
        <w:rPr>
          <w:rFonts w:ascii="Times New Roman" w:hAnsi="Times New Roman" w:cs="Times New Roman"/>
          <w:sz w:val="24"/>
          <w:szCs w:val="24"/>
        </w:rPr>
        <w:t xml:space="preserve">apparati tecno-burocratici? Vincono i sostenitori della strategia della </w:t>
      </w:r>
      <w:r w:rsidRPr="00FA2571">
        <w:rPr>
          <w:rFonts w:ascii="Times New Roman" w:hAnsi="Times New Roman" w:cs="Times New Roman"/>
          <w:i/>
          <w:sz w:val="24"/>
          <w:szCs w:val="24"/>
        </w:rPr>
        <w:t>governance</w:t>
      </w:r>
      <w:r w:rsidRPr="00FA2571">
        <w:rPr>
          <w:rFonts w:ascii="Times New Roman" w:hAnsi="Times New Roman" w:cs="Times New Roman"/>
          <w:sz w:val="24"/>
          <w:szCs w:val="24"/>
        </w:rPr>
        <w:t xml:space="preserve">. Gli stati nazionali non hanno voluto rinunciare alla sovranità sul proprio bilancio nazionale e dunque </w:t>
      </w:r>
      <w:r w:rsidR="00953783">
        <w:rPr>
          <w:rFonts w:ascii="Times New Roman" w:hAnsi="Times New Roman" w:cs="Times New Roman"/>
          <w:sz w:val="24"/>
          <w:szCs w:val="24"/>
        </w:rPr>
        <w:t>dovet</w:t>
      </w:r>
      <w:r w:rsidRPr="00FA2571">
        <w:rPr>
          <w:rFonts w:ascii="Times New Roman" w:hAnsi="Times New Roman" w:cs="Times New Roman"/>
          <w:sz w:val="24"/>
          <w:szCs w:val="24"/>
        </w:rPr>
        <w:t>t</w:t>
      </w:r>
      <w:r w:rsidR="00953783">
        <w:rPr>
          <w:rFonts w:ascii="Times New Roman" w:hAnsi="Times New Roman" w:cs="Times New Roman"/>
          <w:sz w:val="24"/>
          <w:szCs w:val="24"/>
        </w:rPr>
        <w:t>er</w:t>
      </w:r>
      <w:r w:rsidRPr="00FA2571">
        <w:rPr>
          <w:rFonts w:ascii="Times New Roman" w:hAnsi="Times New Roman" w:cs="Times New Roman"/>
          <w:sz w:val="24"/>
          <w:szCs w:val="24"/>
        </w:rPr>
        <w:t xml:space="preserve">o accettare una selva di regole che, alla fine, hanno neutralizzato buona parte della </w:t>
      </w:r>
      <w:r w:rsidR="00953783">
        <w:rPr>
          <w:rFonts w:ascii="Times New Roman" w:hAnsi="Times New Roman" w:cs="Times New Roman"/>
          <w:sz w:val="24"/>
          <w:szCs w:val="24"/>
        </w:rPr>
        <w:t xml:space="preserve">loro </w:t>
      </w:r>
      <w:r w:rsidRPr="00FA2571">
        <w:rPr>
          <w:rFonts w:ascii="Times New Roman" w:hAnsi="Times New Roman" w:cs="Times New Roman"/>
          <w:sz w:val="24"/>
          <w:szCs w:val="24"/>
        </w:rPr>
        <w:t>stessa sovranità. Bel paradosso davvero, conseguenza della irresponsabile miopia della classe politica europea, assai più attenta ad obiettivi elettorali di c</w:t>
      </w:r>
      <w:r w:rsidR="00953783">
        <w:rPr>
          <w:rFonts w:ascii="Times New Roman" w:hAnsi="Times New Roman" w:cs="Times New Roman"/>
          <w:sz w:val="24"/>
          <w:szCs w:val="24"/>
        </w:rPr>
        <w:t>o</w:t>
      </w:r>
      <w:r w:rsidR="006A0D7E">
        <w:rPr>
          <w:rFonts w:ascii="Times New Roman" w:hAnsi="Times New Roman" w:cs="Times New Roman"/>
          <w:sz w:val="24"/>
          <w:szCs w:val="24"/>
        </w:rPr>
        <w:t>rto respiro che non al b</w:t>
      </w:r>
      <w:r w:rsidRPr="00FA2571">
        <w:rPr>
          <w:rFonts w:ascii="Times New Roman" w:hAnsi="Times New Roman" w:cs="Times New Roman"/>
          <w:sz w:val="24"/>
          <w:szCs w:val="24"/>
        </w:rPr>
        <w:t>ene comune.</w:t>
      </w:r>
    </w:p>
    <w:p w:rsidR="0077260E" w:rsidRPr="00FA2571" w:rsidRDefault="00FD4334"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Il terzo terreno di sc</w:t>
      </w:r>
      <w:r w:rsidR="006A0D7E">
        <w:rPr>
          <w:rFonts w:ascii="Times New Roman" w:hAnsi="Times New Roman" w:cs="Times New Roman"/>
          <w:sz w:val="24"/>
          <w:szCs w:val="24"/>
        </w:rPr>
        <w:t>ontro ha riguardato il metodo da</w:t>
      </w:r>
      <w:r w:rsidRPr="00FA2571">
        <w:rPr>
          <w:rFonts w:ascii="Times New Roman" w:hAnsi="Times New Roman" w:cs="Times New Roman"/>
          <w:sz w:val="24"/>
          <w:szCs w:val="24"/>
        </w:rPr>
        <w:t xml:space="preserve"> adottare nel processo di </w:t>
      </w:r>
      <w:r w:rsidR="006A0D7E">
        <w:rPr>
          <w:rFonts w:ascii="Times New Roman" w:hAnsi="Times New Roman" w:cs="Times New Roman"/>
          <w:i/>
          <w:sz w:val="24"/>
          <w:szCs w:val="24"/>
        </w:rPr>
        <w:t>decision-ma</w:t>
      </w:r>
      <w:r w:rsidRPr="00FA2571">
        <w:rPr>
          <w:rFonts w:ascii="Times New Roman" w:hAnsi="Times New Roman" w:cs="Times New Roman"/>
          <w:i/>
          <w:sz w:val="24"/>
          <w:szCs w:val="24"/>
        </w:rPr>
        <w:t>king</w:t>
      </w:r>
      <w:r w:rsidRPr="00FA2571">
        <w:rPr>
          <w:rFonts w:ascii="Times New Roman" w:hAnsi="Times New Roman" w:cs="Times New Roman"/>
          <w:sz w:val="24"/>
          <w:szCs w:val="24"/>
        </w:rPr>
        <w:t>: le istituzioni europee devono rappresentare una sorta di cassa di risonanza dei governi nazionali in carica o</w:t>
      </w:r>
      <w:r w:rsidR="006A0D7E">
        <w:rPr>
          <w:rFonts w:ascii="Times New Roman" w:hAnsi="Times New Roman" w:cs="Times New Roman"/>
          <w:sz w:val="24"/>
          <w:szCs w:val="24"/>
        </w:rPr>
        <w:t>ppure devono esercitare un reale</w:t>
      </w:r>
      <w:r w:rsidRPr="00FA2571">
        <w:rPr>
          <w:rFonts w:ascii="Times New Roman" w:hAnsi="Times New Roman" w:cs="Times New Roman"/>
          <w:sz w:val="24"/>
          <w:szCs w:val="24"/>
        </w:rPr>
        <w:t xml:space="preserve"> potere di deliberazione? Vincono gli intergovernativisti</w:t>
      </w:r>
      <w:r w:rsidR="006A0D7E">
        <w:rPr>
          <w:rFonts w:ascii="Times New Roman" w:hAnsi="Times New Roman" w:cs="Times New Roman"/>
          <w:sz w:val="24"/>
          <w:szCs w:val="24"/>
        </w:rPr>
        <w:t>,</w:t>
      </w:r>
      <w:r w:rsidRPr="00FA2571">
        <w:rPr>
          <w:rFonts w:ascii="Times New Roman" w:hAnsi="Times New Roman" w:cs="Times New Roman"/>
          <w:sz w:val="24"/>
          <w:szCs w:val="24"/>
        </w:rPr>
        <w:t xml:space="preserve">  sostenitori della prima opz</w:t>
      </w:r>
      <w:r w:rsidR="006A0D7E">
        <w:rPr>
          <w:rFonts w:ascii="Times New Roman" w:hAnsi="Times New Roman" w:cs="Times New Roman"/>
          <w:sz w:val="24"/>
          <w:szCs w:val="24"/>
        </w:rPr>
        <w:t>ione e perdono i cosiddetti com</w:t>
      </w:r>
      <w:r w:rsidRPr="00FA2571">
        <w:rPr>
          <w:rFonts w:ascii="Times New Roman" w:hAnsi="Times New Roman" w:cs="Times New Roman"/>
          <w:sz w:val="24"/>
          <w:szCs w:val="24"/>
        </w:rPr>
        <w:t>unitaristi che avrebbero voluto attribuire al Parlamento europeo</w:t>
      </w:r>
      <w:r w:rsidR="0077260E" w:rsidRPr="00FA2571">
        <w:rPr>
          <w:rFonts w:ascii="Times New Roman" w:hAnsi="Times New Roman" w:cs="Times New Roman"/>
          <w:sz w:val="24"/>
          <w:szCs w:val="24"/>
        </w:rPr>
        <w:t xml:space="preserve"> e alla Commissione effettivi ruoli decisionali. (Solo da un paio d’anni si è potuto realizzare un piccolo, ma sostanziale , miglioramento dei poteri attribuiti al Parlamento europeo). Quando, nel linguaggio popolare, si parla di deficit democratico con riferimento all’UE, è a questa specifica caratteristica </w:t>
      </w:r>
      <w:r w:rsidR="006A0D7E">
        <w:rPr>
          <w:rFonts w:ascii="Times New Roman" w:hAnsi="Times New Roman" w:cs="Times New Roman"/>
          <w:sz w:val="24"/>
          <w:szCs w:val="24"/>
        </w:rPr>
        <w:t xml:space="preserve"> del suo modo di funzionamento </w:t>
      </w:r>
      <w:r w:rsidR="0077260E" w:rsidRPr="00FA2571">
        <w:rPr>
          <w:rFonts w:ascii="Times New Roman" w:hAnsi="Times New Roman" w:cs="Times New Roman"/>
          <w:sz w:val="24"/>
          <w:szCs w:val="24"/>
        </w:rPr>
        <w:t>che si fa riferimento.</w:t>
      </w:r>
    </w:p>
    <w:p w:rsidR="0077260E" w:rsidRPr="00FA2571" w:rsidRDefault="0077260E"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Infine, un ulteriore terreno di acceso confronto dialettico è stato quello riguardante la scelta tra le tesi dei welfaristi e quelle dei mercatisti. Oggetto della disputa è chiaro: deve venire prima la crescita oppure il welfare? In altro m odo, è la spesa per il welfare che stimola lo sviluppo; oppure è quest’ultimo che crea le risorse necessarie a finanziare il sistema di welfare? Quanto a dire, quelle del welfare è una spesa per consumi oppure per investimenti? Vincono i mercatisti, </w:t>
      </w:r>
      <w:r w:rsidR="006A0D7E">
        <w:rPr>
          <w:rFonts w:ascii="Times New Roman" w:hAnsi="Times New Roman" w:cs="Times New Roman"/>
          <w:sz w:val="24"/>
          <w:szCs w:val="24"/>
        </w:rPr>
        <w:t xml:space="preserve"> e così </w:t>
      </w:r>
      <w:r w:rsidRPr="00FA2571">
        <w:rPr>
          <w:rFonts w:ascii="Times New Roman" w:hAnsi="Times New Roman" w:cs="Times New Roman"/>
          <w:sz w:val="24"/>
          <w:szCs w:val="24"/>
        </w:rPr>
        <w:t>gli interventi sul front</w:t>
      </w:r>
      <w:r w:rsidR="006A0D7E">
        <w:rPr>
          <w:rFonts w:ascii="Times New Roman" w:hAnsi="Times New Roman" w:cs="Times New Roman"/>
          <w:sz w:val="24"/>
          <w:szCs w:val="24"/>
        </w:rPr>
        <w:t>e del welfare vengono lasciate alle</w:t>
      </w:r>
      <w:r w:rsidRPr="00FA2571">
        <w:rPr>
          <w:rFonts w:ascii="Times New Roman" w:hAnsi="Times New Roman" w:cs="Times New Roman"/>
          <w:sz w:val="24"/>
          <w:szCs w:val="24"/>
        </w:rPr>
        <w:t xml:space="preserve"> decisioni dei singoli governi nazionali. A tutt’oggi non esiste </w:t>
      </w:r>
      <w:r w:rsidR="006A0D7E">
        <w:rPr>
          <w:rFonts w:ascii="Times New Roman" w:hAnsi="Times New Roman" w:cs="Times New Roman"/>
          <w:sz w:val="24"/>
          <w:szCs w:val="24"/>
        </w:rPr>
        <w:t xml:space="preserve">ancora </w:t>
      </w:r>
      <w:r w:rsidRPr="00FA2571">
        <w:rPr>
          <w:rFonts w:ascii="Times New Roman" w:hAnsi="Times New Roman" w:cs="Times New Roman"/>
          <w:sz w:val="24"/>
          <w:szCs w:val="24"/>
        </w:rPr>
        <w:t>un “welfare europeo” e se ne vedono le conseg</w:t>
      </w:r>
      <w:r w:rsidR="006A0D7E">
        <w:rPr>
          <w:rFonts w:ascii="Times New Roman" w:hAnsi="Times New Roman" w:cs="Times New Roman"/>
          <w:sz w:val="24"/>
          <w:szCs w:val="24"/>
        </w:rPr>
        <w:t>uenze, soprattutto in ambito migratorio.</w:t>
      </w:r>
    </w:p>
    <w:p w:rsidR="00771311" w:rsidRDefault="0077260E" w:rsidP="006F7506">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lastRenderedPageBreak/>
        <w:t>Alla luce di quanto pr</w:t>
      </w:r>
      <w:r w:rsidR="006F7506">
        <w:rPr>
          <w:rFonts w:ascii="Times New Roman" w:hAnsi="Times New Roman" w:cs="Times New Roman"/>
          <w:sz w:val="24"/>
          <w:szCs w:val="24"/>
        </w:rPr>
        <w:t>ecede, si può comprendere in qua</w:t>
      </w:r>
      <w:r w:rsidRPr="00FA2571">
        <w:rPr>
          <w:rFonts w:ascii="Times New Roman" w:hAnsi="Times New Roman" w:cs="Times New Roman"/>
          <w:sz w:val="24"/>
          <w:szCs w:val="24"/>
        </w:rPr>
        <w:t xml:space="preserve">l senso il trattato di Maastricht costituisca un “tradimento” rispetto agli ideali europei delle origini, </w:t>
      </w:r>
      <w:r w:rsidR="006F7506">
        <w:rPr>
          <w:rFonts w:ascii="Times New Roman" w:hAnsi="Times New Roman" w:cs="Times New Roman"/>
          <w:sz w:val="24"/>
          <w:szCs w:val="24"/>
        </w:rPr>
        <w:t>presen</w:t>
      </w:r>
      <w:r w:rsidRPr="00FA2571">
        <w:rPr>
          <w:rFonts w:ascii="Times New Roman" w:hAnsi="Times New Roman" w:cs="Times New Roman"/>
          <w:sz w:val="24"/>
          <w:szCs w:val="24"/>
        </w:rPr>
        <w:t>ti nel Rapporto Delors, che auspicava una Unione Europea come Unione fra Diversi, nella quale il rispetto delle matrici culturali e identitarie delle singole nazioni si amalgamasse con politiche</w:t>
      </w:r>
      <w:r w:rsidR="00771311" w:rsidRPr="00FA2571">
        <w:rPr>
          <w:rFonts w:ascii="Times New Roman" w:hAnsi="Times New Roman" w:cs="Times New Roman"/>
          <w:sz w:val="24"/>
          <w:szCs w:val="24"/>
        </w:rPr>
        <w:t xml:space="preserve"> comuni in ambit</w:t>
      </w:r>
      <w:r w:rsidRPr="00FA2571">
        <w:rPr>
          <w:rFonts w:ascii="Times New Roman" w:hAnsi="Times New Roman" w:cs="Times New Roman"/>
          <w:sz w:val="24"/>
          <w:szCs w:val="24"/>
        </w:rPr>
        <w:t>o sia economico sia socio-politico entro una cornice federalista ispirata al principio di sussidiari</w:t>
      </w:r>
      <w:r w:rsidR="00771311" w:rsidRPr="00FA2571">
        <w:rPr>
          <w:rFonts w:ascii="Times New Roman" w:hAnsi="Times New Roman" w:cs="Times New Roman"/>
          <w:sz w:val="24"/>
          <w:szCs w:val="24"/>
        </w:rPr>
        <w:t>e</w:t>
      </w:r>
      <w:r w:rsidRPr="00FA2571">
        <w:rPr>
          <w:rFonts w:ascii="Times New Roman" w:hAnsi="Times New Roman" w:cs="Times New Roman"/>
          <w:sz w:val="24"/>
          <w:szCs w:val="24"/>
        </w:rPr>
        <w:t>tà.</w:t>
      </w:r>
      <w:r w:rsidR="00771311" w:rsidRPr="00FA2571">
        <w:rPr>
          <w:rFonts w:ascii="Times New Roman" w:hAnsi="Times New Roman" w:cs="Times New Roman"/>
          <w:sz w:val="24"/>
          <w:szCs w:val="24"/>
        </w:rPr>
        <w:t xml:space="preserve"> Aveva scritto </w:t>
      </w:r>
      <w:r w:rsidR="006F7506">
        <w:rPr>
          <w:rFonts w:ascii="Times New Roman" w:hAnsi="Times New Roman" w:cs="Times New Roman"/>
          <w:sz w:val="24"/>
          <w:szCs w:val="24"/>
        </w:rPr>
        <w:t xml:space="preserve">anni addietro </w:t>
      </w:r>
      <w:r w:rsidR="00771311" w:rsidRPr="00FA2571">
        <w:rPr>
          <w:rFonts w:ascii="Times New Roman" w:hAnsi="Times New Roman" w:cs="Times New Roman"/>
          <w:sz w:val="24"/>
          <w:szCs w:val="24"/>
        </w:rPr>
        <w:t>quel grande europeista che fu K. Adenauer: “V</w:t>
      </w:r>
      <w:r w:rsidR="006F7506">
        <w:rPr>
          <w:rFonts w:ascii="Times New Roman" w:hAnsi="Times New Roman" w:cs="Times New Roman"/>
          <w:sz w:val="24"/>
          <w:szCs w:val="24"/>
        </w:rPr>
        <w:t>iviamo tutti sotto lo stesso cie</w:t>
      </w:r>
      <w:r w:rsidR="00771311" w:rsidRPr="00FA2571">
        <w:rPr>
          <w:rFonts w:ascii="Times New Roman" w:hAnsi="Times New Roman" w:cs="Times New Roman"/>
          <w:sz w:val="24"/>
          <w:szCs w:val="24"/>
        </w:rPr>
        <w:t xml:space="preserve">lo, ma non tutti abbiamo lo stesso orizzonte”. Il </w:t>
      </w:r>
      <w:r w:rsidR="006F7506">
        <w:rPr>
          <w:rFonts w:ascii="Times New Roman" w:hAnsi="Times New Roman" w:cs="Times New Roman"/>
          <w:sz w:val="24"/>
          <w:szCs w:val="24"/>
        </w:rPr>
        <w:t>cie</w:t>
      </w:r>
      <w:r w:rsidR="00771311" w:rsidRPr="00FA2571">
        <w:rPr>
          <w:rFonts w:ascii="Times New Roman" w:hAnsi="Times New Roman" w:cs="Times New Roman"/>
          <w:sz w:val="24"/>
          <w:szCs w:val="24"/>
        </w:rPr>
        <w:t xml:space="preserve">lo dell’Unione Europea </w:t>
      </w:r>
      <w:r w:rsidR="006F7506">
        <w:rPr>
          <w:rFonts w:ascii="Times New Roman" w:hAnsi="Times New Roman" w:cs="Times New Roman"/>
          <w:sz w:val="24"/>
          <w:szCs w:val="24"/>
        </w:rPr>
        <w:t>avrebbe dovuto</w:t>
      </w:r>
      <w:r w:rsidR="00771311" w:rsidRPr="00FA2571">
        <w:rPr>
          <w:rFonts w:ascii="Times New Roman" w:hAnsi="Times New Roman" w:cs="Times New Roman"/>
          <w:sz w:val="24"/>
          <w:szCs w:val="24"/>
        </w:rPr>
        <w:t xml:space="preserve"> accogliere i tanti orizzonti differenti e ricomporli nel mosaico di una umanità molteplice e unita.</w:t>
      </w:r>
    </w:p>
    <w:p w:rsidR="006F7506" w:rsidRPr="00FA2571" w:rsidRDefault="006F7506" w:rsidP="006F7506">
      <w:pPr>
        <w:spacing w:after="0" w:line="360" w:lineRule="auto"/>
        <w:ind w:firstLine="708"/>
        <w:jc w:val="both"/>
        <w:rPr>
          <w:rFonts w:ascii="Times New Roman" w:hAnsi="Times New Roman" w:cs="Times New Roman"/>
          <w:sz w:val="24"/>
          <w:szCs w:val="24"/>
        </w:rPr>
      </w:pPr>
    </w:p>
    <w:p w:rsidR="006F7506" w:rsidRDefault="006F7506" w:rsidP="006F7506">
      <w:pPr>
        <w:pStyle w:val="Paragrafoelenco"/>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311" w:rsidRPr="006F7506">
        <w:rPr>
          <w:rFonts w:ascii="Times New Roman" w:hAnsi="Times New Roman" w:cs="Times New Roman"/>
          <w:sz w:val="24"/>
          <w:szCs w:val="24"/>
        </w:rPr>
        <w:t>Oggi, l’UE è di fatto – non certo di diritto – succube dell’egemonia tedesca</w:t>
      </w:r>
      <w:r>
        <w:rPr>
          <w:rFonts w:ascii="Times New Roman" w:hAnsi="Times New Roman" w:cs="Times New Roman"/>
          <w:sz w:val="24"/>
          <w:szCs w:val="24"/>
        </w:rPr>
        <w:t>.  B</w:t>
      </w:r>
      <w:r w:rsidR="00771311" w:rsidRPr="006F7506">
        <w:rPr>
          <w:rFonts w:ascii="Times New Roman" w:hAnsi="Times New Roman" w:cs="Times New Roman"/>
          <w:sz w:val="24"/>
          <w:szCs w:val="24"/>
        </w:rPr>
        <w:t xml:space="preserve">asti </w:t>
      </w:r>
      <w:r>
        <w:rPr>
          <w:rFonts w:ascii="Times New Roman" w:hAnsi="Times New Roman" w:cs="Times New Roman"/>
          <w:sz w:val="24"/>
          <w:szCs w:val="24"/>
        </w:rPr>
        <w:t>pensare</w:t>
      </w:r>
    </w:p>
    <w:p w:rsidR="00771311" w:rsidRPr="006F7506" w:rsidRDefault="00771311" w:rsidP="006F7506">
      <w:pPr>
        <w:spacing w:after="0" w:line="360" w:lineRule="auto"/>
        <w:ind w:left="60"/>
        <w:jc w:val="both"/>
        <w:rPr>
          <w:rFonts w:ascii="Times New Roman" w:hAnsi="Times New Roman" w:cs="Times New Roman"/>
          <w:sz w:val="24"/>
          <w:szCs w:val="24"/>
        </w:rPr>
      </w:pPr>
      <w:r w:rsidRPr="006F7506">
        <w:rPr>
          <w:rFonts w:ascii="Times New Roman" w:hAnsi="Times New Roman" w:cs="Times New Roman"/>
          <w:sz w:val="24"/>
          <w:szCs w:val="24"/>
        </w:rPr>
        <w:t xml:space="preserve">alle politiche di austerità imposte all’area euro, politiche che non hanno alcun supporto economico-scientifico, come l’evidenza empirica, oltre che teorica, mostra </w:t>
      </w:r>
      <w:r w:rsidRPr="006F7506">
        <w:rPr>
          <w:rFonts w:ascii="Times New Roman" w:hAnsi="Times New Roman" w:cs="Times New Roman"/>
          <w:i/>
          <w:sz w:val="24"/>
          <w:szCs w:val="24"/>
        </w:rPr>
        <w:t>ad abundantiam</w:t>
      </w:r>
      <w:r w:rsidRPr="006F7506">
        <w:rPr>
          <w:rFonts w:ascii="Times New Roman" w:hAnsi="Times New Roman" w:cs="Times New Roman"/>
          <w:sz w:val="24"/>
          <w:szCs w:val="24"/>
        </w:rPr>
        <w:t>. La Germania è riuscita – e questo è stato il suo pezzo di bravura – ad elevare il proprio interesse nazionale al livello dell’interesse comunitario (“Quel che è bene per la Germania è bene per l’intera Europa”), attribuendo ad un</w:t>
      </w:r>
      <w:r w:rsidR="006F7506">
        <w:rPr>
          <w:rFonts w:ascii="Times New Roman" w:hAnsi="Times New Roman" w:cs="Times New Roman"/>
          <w:sz w:val="24"/>
          <w:szCs w:val="24"/>
        </w:rPr>
        <w:t>a</w:t>
      </w:r>
      <w:r w:rsidRPr="006F7506">
        <w:rPr>
          <w:rFonts w:ascii="Times New Roman" w:hAnsi="Times New Roman" w:cs="Times New Roman"/>
          <w:sz w:val="24"/>
          <w:szCs w:val="24"/>
        </w:rPr>
        <w:t xml:space="preserve"> particolare </w:t>
      </w:r>
      <w:r w:rsidR="006F7506">
        <w:rPr>
          <w:rFonts w:ascii="Times New Roman" w:hAnsi="Times New Roman" w:cs="Times New Roman"/>
          <w:sz w:val="24"/>
          <w:szCs w:val="24"/>
        </w:rPr>
        <w:t>strategia economica</w:t>
      </w:r>
      <w:r w:rsidRPr="006F7506">
        <w:rPr>
          <w:rFonts w:ascii="Times New Roman" w:hAnsi="Times New Roman" w:cs="Times New Roman"/>
          <w:sz w:val="24"/>
          <w:szCs w:val="24"/>
        </w:rPr>
        <w:t xml:space="preserve"> valore morale. Come ciò sia potuto accadere è facile da comprendere, mo</w:t>
      </w:r>
      <w:r w:rsidR="006F7506">
        <w:rPr>
          <w:rFonts w:ascii="Times New Roman" w:hAnsi="Times New Roman" w:cs="Times New Roman"/>
          <w:sz w:val="24"/>
          <w:szCs w:val="24"/>
        </w:rPr>
        <w:t>l</w:t>
      </w:r>
      <w:r w:rsidRPr="006F7506">
        <w:rPr>
          <w:rFonts w:ascii="Times New Roman" w:hAnsi="Times New Roman" w:cs="Times New Roman"/>
          <w:sz w:val="24"/>
          <w:szCs w:val="24"/>
        </w:rPr>
        <w:t>to meno da giustificare.</w:t>
      </w:r>
    </w:p>
    <w:p w:rsidR="0077260E" w:rsidRPr="00FA2571" w:rsidRDefault="00771311"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In primo luogo, come la storia insegna, l’egemonia economica conduce sempre, presto o tardi, all’egemonia culturale: una strategia po</w:t>
      </w:r>
      <w:r w:rsidR="006F7506">
        <w:rPr>
          <w:rFonts w:ascii="Times New Roman" w:hAnsi="Times New Roman" w:cs="Times New Roman"/>
          <w:sz w:val="24"/>
          <w:szCs w:val="24"/>
        </w:rPr>
        <w:t>liti</w:t>
      </w:r>
      <w:r w:rsidRPr="00FA2571">
        <w:rPr>
          <w:rFonts w:ascii="Times New Roman" w:hAnsi="Times New Roman" w:cs="Times New Roman"/>
          <w:sz w:val="24"/>
          <w:szCs w:val="24"/>
        </w:rPr>
        <w:t>co-economica che produce risultati positivi modifica sempre, tanto</w:t>
      </w:r>
      <w:r w:rsidR="006F7506">
        <w:rPr>
          <w:rFonts w:ascii="Times New Roman" w:hAnsi="Times New Roman" w:cs="Times New Roman"/>
          <w:sz w:val="24"/>
          <w:szCs w:val="24"/>
        </w:rPr>
        <w:t xml:space="preserve"> o </w:t>
      </w:r>
      <w:r w:rsidRPr="00FA2571">
        <w:rPr>
          <w:rFonts w:ascii="Times New Roman" w:hAnsi="Times New Roman" w:cs="Times New Roman"/>
          <w:sz w:val="24"/>
          <w:szCs w:val="24"/>
        </w:rPr>
        <w:t xml:space="preserve"> poco, le mappe cognitive delle persone, fino a divenire criterio di giudizio sul reale. Si deve sapere che fino al 1998 la Germania era un paese in forte difficoltà, con un alto debito pubblico (per gli standard tedeschi) e fortemente appesantita, nella sua </w:t>
      </w:r>
      <w:r w:rsidR="0077260E" w:rsidRPr="00FA2571">
        <w:rPr>
          <w:rFonts w:ascii="Times New Roman" w:hAnsi="Times New Roman" w:cs="Times New Roman"/>
          <w:sz w:val="24"/>
          <w:szCs w:val="24"/>
        </w:rPr>
        <w:t xml:space="preserve"> </w:t>
      </w:r>
      <w:r w:rsidR="006F7506">
        <w:rPr>
          <w:rFonts w:ascii="Times New Roman" w:hAnsi="Times New Roman" w:cs="Times New Roman"/>
          <w:sz w:val="24"/>
          <w:szCs w:val="24"/>
        </w:rPr>
        <w:t>struttura produttiva, da</w:t>
      </w:r>
      <w:r w:rsidRPr="00FA2571">
        <w:rPr>
          <w:rFonts w:ascii="Times New Roman" w:hAnsi="Times New Roman" w:cs="Times New Roman"/>
          <w:sz w:val="24"/>
          <w:szCs w:val="24"/>
        </w:rPr>
        <w:t xml:space="preserve">l processo di unificazione delle due Germanie, iniziato all’indomani della caduta del muro di Berlino  nel novembre 1989 e basicamente terminato in un lasso di tempo </w:t>
      </w:r>
      <w:r w:rsidR="006F7506">
        <w:rPr>
          <w:rFonts w:ascii="Times New Roman" w:hAnsi="Times New Roman" w:cs="Times New Roman"/>
          <w:sz w:val="24"/>
          <w:szCs w:val="24"/>
        </w:rPr>
        <w:t xml:space="preserve">così breve </w:t>
      </w:r>
      <w:r w:rsidRPr="00FA2571">
        <w:rPr>
          <w:rFonts w:ascii="Times New Roman" w:hAnsi="Times New Roman" w:cs="Times New Roman"/>
          <w:sz w:val="24"/>
          <w:szCs w:val="24"/>
        </w:rPr>
        <w:t xml:space="preserve">che nessuno aveva previsto che </w:t>
      </w:r>
      <w:r w:rsidR="006F7506">
        <w:rPr>
          <w:rFonts w:ascii="Times New Roman" w:hAnsi="Times New Roman" w:cs="Times New Roman"/>
          <w:sz w:val="24"/>
          <w:szCs w:val="24"/>
        </w:rPr>
        <w:t>quel processo si fosse</w:t>
      </w:r>
      <w:r w:rsidRPr="00FA2571">
        <w:rPr>
          <w:rFonts w:ascii="Times New Roman" w:hAnsi="Times New Roman" w:cs="Times New Roman"/>
          <w:sz w:val="24"/>
          <w:szCs w:val="24"/>
        </w:rPr>
        <w:t xml:space="preserve"> potuto realizzare.</w:t>
      </w:r>
    </w:p>
    <w:p w:rsidR="00B57C7D" w:rsidRPr="00FA2571" w:rsidRDefault="00B57C7D"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Dieci anni dopo, arriva in Europa la grande crisi finanziaria scoppiata negli USA nell’aprile 2007 e la Germania cogl</w:t>
      </w:r>
      <w:r w:rsidR="006F7506">
        <w:rPr>
          <w:rFonts w:ascii="Times New Roman" w:hAnsi="Times New Roman" w:cs="Times New Roman"/>
          <w:sz w:val="24"/>
          <w:szCs w:val="24"/>
        </w:rPr>
        <w:t>ie al balzo questa straordinaria</w:t>
      </w:r>
      <w:r w:rsidRPr="00FA2571">
        <w:rPr>
          <w:rFonts w:ascii="Times New Roman" w:hAnsi="Times New Roman" w:cs="Times New Roman"/>
          <w:sz w:val="24"/>
          <w:szCs w:val="24"/>
        </w:rPr>
        <w:t xml:space="preserve"> opportunità per “imporre” a tutti la nota politica di austerità. La firma del </w:t>
      </w:r>
      <w:r w:rsidRPr="00FA2571">
        <w:rPr>
          <w:rFonts w:ascii="Times New Roman" w:hAnsi="Times New Roman" w:cs="Times New Roman"/>
          <w:i/>
          <w:sz w:val="24"/>
          <w:szCs w:val="24"/>
        </w:rPr>
        <w:t>fiscal compact</w:t>
      </w:r>
      <w:r w:rsidRPr="00FA2571">
        <w:rPr>
          <w:rFonts w:ascii="Times New Roman" w:hAnsi="Times New Roman" w:cs="Times New Roman"/>
          <w:sz w:val="24"/>
          <w:szCs w:val="24"/>
        </w:rPr>
        <w:t xml:space="preserve"> – la cui entrata in vigore avviene il 1° gennaio 2013 – è il coronamento della grande abilità e capacità di persu</w:t>
      </w:r>
      <w:r w:rsidR="006F7506">
        <w:rPr>
          <w:rFonts w:ascii="Times New Roman" w:hAnsi="Times New Roman" w:cs="Times New Roman"/>
          <w:sz w:val="24"/>
          <w:szCs w:val="24"/>
        </w:rPr>
        <w:t>asione della</w:t>
      </w:r>
      <w:r w:rsidRPr="00FA2571">
        <w:rPr>
          <w:rFonts w:ascii="Times New Roman" w:hAnsi="Times New Roman" w:cs="Times New Roman"/>
          <w:sz w:val="24"/>
          <w:szCs w:val="24"/>
        </w:rPr>
        <w:t xml:space="preserve"> leadership tedesca. L’accettazione – di fatto supina – di tale patto mentre ha tarpato le ali alla possibilità di ripresa dei paesi dell’area mediterranea, ha ac</w:t>
      </w:r>
      <w:r w:rsidR="006F7506">
        <w:rPr>
          <w:rFonts w:ascii="Times New Roman" w:hAnsi="Times New Roman" w:cs="Times New Roman"/>
          <w:sz w:val="24"/>
          <w:szCs w:val="24"/>
        </w:rPr>
        <w:t>cresciuto considerevolmente la</w:t>
      </w:r>
      <w:r w:rsidRPr="00FA2571">
        <w:rPr>
          <w:rFonts w:ascii="Times New Roman" w:hAnsi="Times New Roman" w:cs="Times New Roman"/>
          <w:sz w:val="24"/>
          <w:szCs w:val="24"/>
        </w:rPr>
        <w:t xml:space="preserve"> capacità di esportazione della Germania – il surplus della bilancia commerciale tedesca ha continuato infatti a superare di molto il limite fissato nell’accordo – e soprattutto è valso a calamitare sulle banche tedesche i titoli pubblici dei paesi in difficoltà finanziaria. Si pensi alla vicenda dello </w:t>
      </w:r>
      <w:r w:rsidRPr="00FA2571">
        <w:rPr>
          <w:rFonts w:ascii="Times New Roman" w:hAnsi="Times New Roman" w:cs="Times New Roman"/>
          <w:i/>
          <w:sz w:val="24"/>
          <w:szCs w:val="24"/>
        </w:rPr>
        <w:t>spre</w:t>
      </w:r>
      <w:r w:rsidR="006F7506">
        <w:rPr>
          <w:rFonts w:ascii="Times New Roman" w:hAnsi="Times New Roman" w:cs="Times New Roman"/>
          <w:i/>
          <w:sz w:val="24"/>
          <w:szCs w:val="24"/>
        </w:rPr>
        <w:t>a</w:t>
      </w:r>
      <w:r w:rsidRPr="00FA2571">
        <w:rPr>
          <w:rFonts w:ascii="Times New Roman" w:hAnsi="Times New Roman" w:cs="Times New Roman"/>
          <w:i/>
          <w:sz w:val="24"/>
          <w:szCs w:val="24"/>
        </w:rPr>
        <w:t>d</w:t>
      </w:r>
      <w:r w:rsidRPr="00FA2571">
        <w:rPr>
          <w:rFonts w:ascii="Times New Roman" w:hAnsi="Times New Roman" w:cs="Times New Roman"/>
          <w:sz w:val="24"/>
          <w:szCs w:val="24"/>
        </w:rPr>
        <w:t xml:space="preserve">, parola magica entrata nel linguaggio comune. (Breve nota tecnica. Se un paese è in disavanzo del bilancio delle partite </w:t>
      </w:r>
      <w:r w:rsidRPr="00FA2571">
        <w:rPr>
          <w:rFonts w:ascii="Times New Roman" w:hAnsi="Times New Roman" w:cs="Times New Roman"/>
          <w:sz w:val="24"/>
          <w:szCs w:val="24"/>
        </w:rPr>
        <w:lastRenderedPageBreak/>
        <w:t xml:space="preserve">correnti, esso spinge la crescita in altri paesi. Viceversa, se un paese è in avanzo sottrae domanda effettiva </w:t>
      </w:r>
      <w:r w:rsidR="006F7506">
        <w:rPr>
          <w:rFonts w:ascii="Times New Roman" w:hAnsi="Times New Roman" w:cs="Times New Roman"/>
          <w:sz w:val="24"/>
          <w:szCs w:val="24"/>
        </w:rPr>
        <w:t xml:space="preserve">ad altri paesi </w:t>
      </w:r>
      <w:r w:rsidRPr="00FA2571">
        <w:rPr>
          <w:rFonts w:ascii="Times New Roman" w:hAnsi="Times New Roman" w:cs="Times New Roman"/>
          <w:sz w:val="24"/>
          <w:szCs w:val="24"/>
        </w:rPr>
        <w:t>e quindi frena la crescita altrove).</w:t>
      </w:r>
    </w:p>
    <w:p w:rsidR="00B57C7D" w:rsidRPr="00FA2571" w:rsidRDefault="00B57C7D"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Quanto sopra è certamente rilevante, ma non sufficiente a dare conto della profonda situazione di crisi in cui versa</w:t>
      </w:r>
      <w:r w:rsidR="002267F4">
        <w:rPr>
          <w:rFonts w:ascii="Times New Roman" w:hAnsi="Times New Roman" w:cs="Times New Roman"/>
          <w:sz w:val="24"/>
          <w:szCs w:val="24"/>
        </w:rPr>
        <w:t xml:space="preserve"> oggi </w:t>
      </w:r>
      <w:r w:rsidRPr="00FA2571">
        <w:rPr>
          <w:rFonts w:ascii="Times New Roman" w:hAnsi="Times New Roman" w:cs="Times New Roman"/>
          <w:sz w:val="24"/>
          <w:szCs w:val="24"/>
        </w:rPr>
        <w:t xml:space="preserve"> il progetto europeo</w:t>
      </w:r>
      <w:r w:rsidR="002267F4">
        <w:rPr>
          <w:rFonts w:ascii="Times New Roman" w:hAnsi="Times New Roman" w:cs="Times New Roman"/>
          <w:sz w:val="24"/>
          <w:szCs w:val="24"/>
        </w:rPr>
        <w:t>.</w:t>
      </w:r>
      <w:r w:rsidRPr="00FA2571">
        <w:rPr>
          <w:rFonts w:ascii="Times New Roman" w:hAnsi="Times New Roman" w:cs="Times New Roman"/>
          <w:sz w:val="24"/>
          <w:szCs w:val="24"/>
        </w:rPr>
        <w:t xml:space="preserve"> Una crisi, la cui più recente manifestazione è stata quella dell’accordo di Bruxelles del 18 febbraio 2016,  siglato </w:t>
      </w:r>
      <w:r w:rsidRPr="00FA2571">
        <w:rPr>
          <w:rFonts w:ascii="Times New Roman" w:hAnsi="Times New Roman" w:cs="Times New Roman"/>
          <w:i/>
          <w:sz w:val="24"/>
          <w:szCs w:val="24"/>
        </w:rPr>
        <w:t xml:space="preserve">in extremis </w:t>
      </w:r>
      <w:r w:rsidR="00AC1899" w:rsidRPr="00FA2571">
        <w:rPr>
          <w:rFonts w:ascii="Times New Roman" w:hAnsi="Times New Roman" w:cs="Times New Roman"/>
          <w:sz w:val="24"/>
          <w:szCs w:val="24"/>
        </w:rPr>
        <w:t xml:space="preserve">per cercare di scongiurare la cosiddetta Brexit, </w:t>
      </w:r>
      <w:r w:rsidRPr="00FA2571">
        <w:rPr>
          <w:rFonts w:ascii="Times New Roman" w:hAnsi="Times New Roman" w:cs="Times New Roman"/>
          <w:sz w:val="24"/>
          <w:szCs w:val="24"/>
        </w:rPr>
        <w:t>cioè l’uscita della Gran Bretagna d</w:t>
      </w:r>
      <w:r w:rsidR="00AC1899" w:rsidRPr="00FA2571">
        <w:rPr>
          <w:rFonts w:ascii="Times New Roman" w:hAnsi="Times New Roman" w:cs="Times New Roman"/>
          <w:sz w:val="24"/>
          <w:szCs w:val="24"/>
        </w:rPr>
        <w:t>all’Unione Europea. Tale accordo ha di fatto sancito che non si procederà più verso un’unione sempre più stretta, ma verso una libera associazione di stati, con diverse modalità di partecipazione. In particolare, si andrà verso il mo</w:t>
      </w:r>
      <w:r w:rsidR="002267F4">
        <w:rPr>
          <w:rFonts w:ascii="Times New Roman" w:hAnsi="Times New Roman" w:cs="Times New Roman"/>
          <w:sz w:val="24"/>
          <w:szCs w:val="24"/>
        </w:rPr>
        <w:t>dello delle</w:t>
      </w:r>
      <w:r w:rsidR="00AC1899" w:rsidRPr="00FA2571">
        <w:rPr>
          <w:rFonts w:ascii="Times New Roman" w:hAnsi="Times New Roman" w:cs="Times New Roman"/>
          <w:sz w:val="24"/>
          <w:szCs w:val="24"/>
        </w:rPr>
        <w:t xml:space="preserve"> due Europe: una </w:t>
      </w:r>
      <w:r w:rsidR="002267F4">
        <w:rPr>
          <w:rFonts w:ascii="Times New Roman" w:hAnsi="Times New Roman" w:cs="Times New Roman"/>
          <w:sz w:val="24"/>
          <w:szCs w:val="24"/>
        </w:rPr>
        <w:t xml:space="preserve">a  </w:t>
      </w:r>
      <w:r w:rsidR="00AC1899" w:rsidRPr="00FA2571">
        <w:rPr>
          <w:rFonts w:ascii="Times New Roman" w:hAnsi="Times New Roman" w:cs="Times New Roman"/>
          <w:sz w:val="24"/>
          <w:szCs w:val="24"/>
        </w:rPr>
        <w:t xml:space="preserve">trazione euro, che potrà arrivare anche all’integrazione politica; ed una a trazione britannica che si “accontenterà” dell’integrazione economica. Sono dell’avviso che quanto finora accaduto – ma che avrebbe potuto non accadere – </w:t>
      </w:r>
      <w:r w:rsidR="002267F4">
        <w:rPr>
          <w:rFonts w:ascii="Times New Roman" w:hAnsi="Times New Roman" w:cs="Times New Roman"/>
          <w:sz w:val="24"/>
          <w:szCs w:val="24"/>
        </w:rPr>
        <w:t>consegue</w:t>
      </w:r>
      <w:r w:rsidR="00AC1899" w:rsidRPr="00FA2571">
        <w:rPr>
          <w:rFonts w:ascii="Times New Roman" w:hAnsi="Times New Roman" w:cs="Times New Roman"/>
          <w:sz w:val="24"/>
          <w:szCs w:val="24"/>
        </w:rPr>
        <w:t xml:space="preserve"> da uno specifico deficit culturale, quello di non essere riusciti </w:t>
      </w:r>
      <w:r w:rsidR="002267F4">
        <w:rPr>
          <w:rFonts w:ascii="Times New Roman" w:hAnsi="Times New Roman" w:cs="Times New Roman"/>
          <w:sz w:val="24"/>
          <w:szCs w:val="24"/>
        </w:rPr>
        <w:t xml:space="preserve">in Europa </w:t>
      </w:r>
      <w:r w:rsidR="00AC1899" w:rsidRPr="00FA2571">
        <w:rPr>
          <w:rFonts w:ascii="Times New Roman" w:hAnsi="Times New Roman" w:cs="Times New Roman"/>
          <w:sz w:val="24"/>
          <w:szCs w:val="24"/>
        </w:rPr>
        <w:t>a porre a fuoco e a trarre tutte le conseguenze d</w:t>
      </w:r>
      <w:r w:rsidR="002267F4">
        <w:rPr>
          <w:rFonts w:ascii="Times New Roman" w:hAnsi="Times New Roman" w:cs="Times New Roman"/>
          <w:sz w:val="24"/>
          <w:szCs w:val="24"/>
        </w:rPr>
        <w:t xml:space="preserve">al riconoscimento </w:t>
      </w:r>
      <w:r w:rsidR="00AC1899" w:rsidRPr="00FA2571">
        <w:rPr>
          <w:rFonts w:ascii="Times New Roman" w:hAnsi="Times New Roman" w:cs="Times New Roman"/>
          <w:sz w:val="24"/>
          <w:szCs w:val="24"/>
        </w:rPr>
        <w:t xml:space="preserve"> delle “virtù europee”.</w:t>
      </w:r>
      <w:r w:rsidR="002267F4">
        <w:rPr>
          <w:rFonts w:ascii="Times New Roman" w:hAnsi="Times New Roman" w:cs="Times New Roman"/>
          <w:sz w:val="24"/>
          <w:szCs w:val="24"/>
        </w:rPr>
        <w:t xml:space="preserve"> Vedo di chiarire.</w:t>
      </w:r>
    </w:p>
    <w:p w:rsidR="001A1452" w:rsidRPr="00FA2571" w:rsidRDefault="001A1452"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Per il modello di Costituzione Europea, l’Europa è “una comunità di valori comuni” con una storia condivisa, sia pure punteggiata da frequenti lotte, guerre, tensioni e pluralismi di vario genere. Ciò è certamente vero, ma occorre qualificare questi valori comuni, al di là dei cosiddetti “valori occidentali”, se si vuole parlare di identità europea. Nella proposta della Costituzione Europea (2000) si legge che un’unione “è fondata sui valori del rispetto delle dignità umana, della libertà, della democrazia, dell’uguaglianza, dello stato di diritto e del rispetto dei diritti umani, ivi compresi i diritti degli appartenenti alle minoranze” (artt. I-II). Mai nessuno potrà negare cogenza a tali valori, anche perché, a far tempo dalla Dichiarazione dei Diritti Umani proclamata dalle Nazioni Unite nel 1948, tutti i paesi e tutti i continenti li hanno in qualche forma accolti. Ma al livello di astrazione al quale sono enunciati, difficilmente essi possono essere presi come peculiari della configurazione europea. </w:t>
      </w:r>
      <w:r w:rsidR="00E320EB" w:rsidRPr="00FA2571">
        <w:rPr>
          <w:rFonts w:ascii="Times New Roman" w:hAnsi="Times New Roman" w:cs="Times New Roman"/>
          <w:sz w:val="24"/>
          <w:szCs w:val="24"/>
        </w:rPr>
        <w:t>Ecco perché non si può eludere il problema di definire i tratti distintivi dell’identità europea.</w:t>
      </w:r>
    </w:p>
    <w:p w:rsidR="001A1452" w:rsidRPr="00FA2571" w:rsidRDefault="00E320EB" w:rsidP="003E47B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A tale riguardo, è bene che precisi </w:t>
      </w:r>
      <w:r w:rsidR="001A1452" w:rsidRPr="00FA2571">
        <w:rPr>
          <w:rFonts w:ascii="Times New Roman" w:hAnsi="Times New Roman" w:cs="Times New Roman"/>
          <w:sz w:val="24"/>
          <w:szCs w:val="24"/>
        </w:rPr>
        <w:t>il significato che attribuisco alla nozione di identità culturale. Invero, il termine “identità” si porta appresso due ambiguità. La prima è quella che fa riferimento alla distinzione tra identità come corrispondenza ad un’unica realtà o entità (“X e Y condividono la stessa identità religiosa”; oppure “X e Y indossano un vestito identico”) e identità come insieme di caratteristiche che rendono un soggetto o un ente qualcosa di unico e irripetibile. (“Questa è la mia carta di identità”; oppure “quella persona ha perso la propria identità in seguito alla malattia mentale”). La seconda ambiguità, invece, concerne la distinzione tra identità come condizione data, decisa da altri o quale speciale destino storico, e identità come frutto di scelta personale. Nel primo caso, l’identità si scopre, nel secondo caso si costruisce.</w:t>
      </w:r>
      <w:r w:rsidRPr="00FA2571">
        <w:rPr>
          <w:rFonts w:ascii="Times New Roman" w:hAnsi="Times New Roman" w:cs="Times New Roman"/>
          <w:sz w:val="24"/>
          <w:szCs w:val="24"/>
        </w:rPr>
        <w:t xml:space="preserve"> Sono dell’avviso che</w:t>
      </w:r>
      <w:r w:rsidR="001A1452" w:rsidRPr="00FA2571">
        <w:rPr>
          <w:rFonts w:ascii="Times New Roman" w:hAnsi="Times New Roman" w:cs="Times New Roman"/>
          <w:sz w:val="24"/>
          <w:szCs w:val="24"/>
        </w:rPr>
        <w:t xml:space="preserve">, </w:t>
      </w:r>
      <w:r w:rsidR="001A1452" w:rsidRPr="00FA2571">
        <w:rPr>
          <w:rFonts w:ascii="Times New Roman" w:hAnsi="Times New Roman" w:cs="Times New Roman"/>
          <w:sz w:val="24"/>
          <w:szCs w:val="24"/>
        </w:rPr>
        <w:lastRenderedPageBreak/>
        <w:t xml:space="preserve">il termine in questione </w:t>
      </w:r>
      <w:r w:rsidRPr="00FA2571">
        <w:rPr>
          <w:rFonts w:ascii="Times New Roman" w:hAnsi="Times New Roman" w:cs="Times New Roman"/>
          <w:sz w:val="24"/>
          <w:szCs w:val="24"/>
        </w:rPr>
        <w:t xml:space="preserve">debba essere </w:t>
      </w:r>
      <w:r w:rsidR="001A1452" w:rsidRPr="00FA2571">
        <w:rPr>
          <w:rFonts w:ascii="Times New Roman" w:hAnsi="Times New Roman" w:cs="Times New Roman"/>
          <w:sz w:val="24"/>
          <w:szCs w:val="24"/>
        </w:rPr>
        <w:t>inteso nella seconda accezione in entrambi i casi e cioè come insieme di caratteristiche che connotano di sé un ente e come qualcosa che è frutto di un processo di scelta. In tal senso, la costruzione dell’identità comporta sempre che un confine venga tracciato. Ma ogni confine, per il fatto stesso di separare interno e esterno, chi sta dentro e chi sta fuori, apre sempre al rischio della difesa ad oltranza della propria identità. Ciò che la rende precaria e pericolosa. Precaria, perché un’identità che non riesce a vedere l’Altro non è sostenibile nella prospettiva della durata, dal momento che la deriva immunitaria finisce sempre con il negare la vita stessa. Pericolosa, perché un’identità che non si pone in discussione degenera, presto o tardi, nell’integralismo, cioè nel rifiuto a priori della diversità dell’Altro. E’ così che non poche persone, allo scopo di scongiurare il rischio sia immunitario sia integralistico, propongono di sbarazzarsi del concetto stesso di identità; il che è come gettare con l’acqua il bambino, perché l’esodo dall’identità distrugge la persona. Piuttosto, quello che occorre fare è imparare a “negoziare” i propri confini; il che significa essere in grado di fornire le ragioni ragionevoli che stanno alla base della scelta della propria identità.</w:t>
      </w:r>
    </w:p>
    <w:p w:rsidR="001A1452" w:rsidRPr="00FA2571" w:rsidRDefault="001A1452" w:rsidP="003E47BD">
      <w:pPr>
        <w:spacing w:after="0" w:line="360" w:lineRule="auto"/>
        <w:jc w:val="both"/>
        <w:rPr>
          <w:rFonts w:ascii="Times New Roman" w:hAnsi="Times New Roman" w:cs="Times New Roman"/>
          <w:sz w:val="24"/>
          <w:szCs w:val="24"/>
        </w:rPr>
      </w:pPr>
      <w:r w:rsidRPr="00FA2571">
        <w:rPr>
          <w:rFonts w:ascii="Times New Roman" w:hAnsi="Times New Roman" w:cs="Times New Roman"/>
          <w:sz w:val="24"/>
          <w:szCs w:val="24"/>
        </w:rPr>
        <w:tab/>
        <w:t>Una seconda osservazione chiama in causa il parallelo che è possibile istituire tra il XV secolo e la nostra situazione attuale. Il Quattrocento è stato il secolo del primo Umanesimo, un evento squisitamente europeo. Nel suo discorso al Collegè des Bernardins (Parigi) del 12 settembre 2008, Benedetto XVI ha illustrato con straordinaria efficacia come a partire dal monachesimo benedettino, pensato e realizzato dal suo fondatore come “scuola del servizio divino” (</w:t>
      </w:r>
      <w:r w:rsidRPr="00FA2571">
        <w:rPr>
          <w:rFonts w:ascii="Times New Roman" w:hAnsi="Times New Roman" w:cs="Times New Roman"/>
          <w:i/>
          <w:sz w:val="24"/>
          <w:szCs w:val="24"/>
        </w:rPr>
        <w:t>dominici servitii schola</w:t>
      </w:r>
      <w:r w:rsidRPr="00FA2571">
        <w:rPr>
          <w:rFonts w:ascii="Times New Roman" w:hAnsi="Times New Roman" w:cs="Times New Roman"/>
          <w:sz w:val="24"/>
          <w:szCs w:val="24"/>
        </w:rPr>
        <w:t>), e passando per Agostino e poi per Bernardo da Chiaravalle si sia potuto approdare all’Umanesimo civile del XV secolo. Decisiva a tale riguardo la nuova concezione del lavoro che con l’</w:t>
      </w:r>
      <w:r w:rsidRPr="00FA2571">
        <w:rPr>
          <w:rFonts w:ascii="Times New Roman" w:hAnsi="Times New Roman" w:cs="Times New Roman"/>
          <w:i/>
          <w:sz w:val="24"/>
          <w:szCs w:val="24"/>
        </w:rPr>
        <w:t>ora et labora</w:t>
      </w:r>
      <w:r w:rsidRPr="00FA2571">
        <w:rPr>
          <w:rFonts w:ascii="Times New Roman" w:hAnsi="Times New Roman" w:cs="Times New Roman"/>
          <w:sz w:val="24"/>
          <w:szCs w:val="24"/>
        </w:rPr>
        <w:t xml:space="preserve"> di Benedetto si viene ad affermare. “Del monachesimo fa parte – scrive il Papa – insieme con la cultura della parola, una cultura del lavoro, senza la quale lo sviluppo dell’Europa, il suo ethos e la sua concezione del mondo sono impensabili”. </w:t>
      </w:r>
    </w:p>
    <w:p w:rsidR="001A1452" w:rsidRPr="00FA2571" w:rsidRDefault="001A1452" w:rsidP="003E47BD">
      <w:pPr>
        <w:spacing w:after="0" w:line="360" w:lineRule="auto"/>
        <w:jc w:val="both"/>
        <w:rPr>
          <w:rFonts w:ascii="Times New Roman" w:hAnsi="Times New Roman" w:cs="Times New Roman"/>
          <w:sz w:val="24"/>
          <w:szCs w:val="24"/>
        </w:rPr>
      </w:pPr>
      <w:r w:rsidRPr="00FA2571">
        <w:rPr>
          <w:rFonts w:ascii="Times New Roman" w:hAnsi="Times New Roman" w:cs="Times New Roman"/>
          <w:sz w:val="24"/>
          <w:szCs w:val="24"/>
        </w:rPr>
        <w:tab/>
        <w:t xml:space="preserve">Sappiamo bene, infatti, come per la civiltà greco-romana il lavoro come </w:t>
      </w:r>
      <w:r w:rsidRPr="00FA2571">
        <w:rPr>
          <w:rFonts w:ascii="Times New Roman" w:hAnsi="Times New Roman" w:cs="Times New Roman"/>
          <w:i/>
          <w:sz w:val="24"/>
          <w:szCs w:val="24"/>
        </w:rPr>
        <w:t>negotium</w:t>
      </w:r>
      <w:r w:rsidRPr="00FA2571">
        <w:rPr>
          <w:rFonts w:ascii="Times New Roman" w:hAnsi="Times New Roman" w:cs="Times New Roman"/>
          <w:sz w:val="24"/>
          <w:szCs w:val="24"/>
        </w:rPr>
        <w:t xml:space="preserve"> fosse prerogativa dello schiavo o del servo, mentre l’uomo libero doveva dedicarsi all’</w:t>
      </w:r>
      <w:r w:rsidRPr="00FA2571">
        <w:rPr>
          <w:rFonts w:ascii="Times New Roman" w:hAnsi="Times New Roman" w:cs="Times New Roman"/>
          <w:i/>
          <w:sz w:val="24"/>
          <w:szCs w:val="24"/>
        </w:rPr>
        <w:t>otium</w:t>
      </w:r>
      <w:r w:rsidRPr="00FA2571">
        <w:rPr>
          <w:rFonts w:ascii="Times New Roman" w:hAnsi="Times New Roman" w:cs="Times New Roman"/>
          <w:sz w:val="24"/>
          <w:szCs w:val="24"/>
        </w:rPr>
        <w:t xml:space="preserve">. E ciò per la fondamentale ragione che tale civiltà non conosceva alcun Dio creatore perché – scrive ancora Benedetto XVI – “la divinità suprema non poteva, per così dire, sporcarsi le mani con la creazione della materia. Il ‘costruire’ il mondo era riservato al demiurgo, una deità subordinata”. E’ solo con l’ingresso nella cultura europea dell’idea giudaico-cristiana di un Dio creatore – il quale “opera sempre” (Gv.5, 17) – che il lavoro umano può assurgere al ruolo di collaborazione con il Creatore per completare quanto questi ha lasciato incompiuto. Ed è allora chiaro come sia potuto accadere che, a partire dall’associazione di lavoro e libertà, si sia giunti all’idea di sviluppo, anche economico, e quindi alla realizzazione piena, in epoca umanistica, dell’economia di mercato. </w:t>
      </w:r>
    </w:p>
    <w:p w:rsidR="0077634D" w:rsidRDefault="001A1452" w:rsidP="0077634D">
      <w:pPr>
        <w:spacing w:after="0"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lastRenderedPageBreak/>
        <w:t xml:space="preserve">Ebbene, il nuovo secolo, nel quale già siamo entrati, esprime con forza l’esigenza di un nuovo Umanesimo. Allora fu il passaggio del feudalesimo alla modernità il fattore decisivo di spinta. Oggi, è un passaggio d’epoca altrettanto radicale – quello dalla società industriale alla società post-industriale – a farci intravedere l’urgenza di aggiornare le vecchie categorie di pensiero e di sperimentare vie nuove di azione. Ecco perché ha senso porsi oggi il problema della riscoperta delle radici dell’identità culturale europea se si vuole con serietà affrontare la grande sfida degli inizi del terzo millennio: convenire in una casa comune europea. </w:t>
      </w:r>
    </w:p>
    <w:p w:rsidR="00AC1899" w:rsidRPr="00FA2571" w:rsidRDefault="001A1452" w:rsidP="003E47BD">
      <w:pPr>
        <w:spacing w:line="360" w:lineRule="auto"/>
        <w:ind w:firstLine="708"/>
        <w:jc w:val="both"/>
        <w:rPr>
          <w:rFonts w:ascii="Times New Roman" w:hAnsi="Times New Roman" w:cs="Times New Roman"/>
          <w:sz w:val="24"/>
          <w:szCs w:val="24"/>
        </w:rPr>
      </w:pPr>
      <w:r w:rsidRPr="00FA2571">
        <w:rPr>
          <w:rFonts w:ascii="Times New Roman" w:hAnsi="Times New Roman" w:cs="Times New Roman"/>
          <w:sz w:val="24"/>
          <w:szCs w:val="24"/>
        </w:rPr>
        <w:t xml:space="preserve">Nel suo </w:t>
      </w:r>
      <w:r w:rsidRPr="00FA2571">
        <w:rPr>
          <w:rFonts w:ascii="Times New Roman" w:hAnsi="Times New Roman" w:cs="Times New Roman"/>
          <w:i/>
          <w:sz w:val="24"/>
          <w:szCs w:val="24"/>
        </w:rPr>
        <w:t>L’eredità dell’Europa</w:t>
      </w:r>
      <w:r w:rsidRPr="00FA2571">
        <w:rPr>
          <w:rFonts w:ascii="Times New Roman" w:hAnsi="Times New Roman" w:cs="Times New Roman"/>
          <w:sz w:val="24"/>
          <w:szCs w:val="24"/>
        </w:rPr>
        <w:t xml:space="preserve"> (1989), Hans Gadamer scrive che l’eccezionale merito dell’Europa è sempre stato quello di saper riconoscere e vivere con l’Altro: “Vivere con l’Altro, vivere come l’Altro dell’Altro è il compito fondamentale dell’uomo, al più basso come al più alto livello. Da qui forse il particolare vantaggio dell’Europa, che ha potuto e dovuto imparare l’arte di vivere con gli altri”. E’ un fatto che la storia dei popoli europei ha prodotto una straordinaria fioritura di diversità. Nessun  altra parte del mondo contiene in così piccolo spazio una tale varietà di costumi, di tradizioni culturali, di organizzazioni politiche. Tutte le forme della diversità sono state coltivate in Europa fino alla conflittualità più spinta. Sono dell’avviso che tre parole chiave – persona, democrazia, fraternità – bene esprimano questa arte, tipicamente europea, cui allude Gadamer.</w:t>
      </w:r>
    </w:p>
    <w:p w:rsidR="0079289B" w:rsidRPr="00FA2571" w:rsidRDefault="0079289B" w:rsidP="003E47BD">
      <w:pPr>
        <w:spacing w:line="360" w:lineRule="auto"/>
        <w:jc w:val="both"/>
        <w:rPr>
          <w:rFonts w:ascii="Times New Roman" w:hAnsi="Times New Roman" w:cs="Times New Roman"/>
          <w:sz w:val="24"/>
          <w:szCs w:val="24"/>
        </w:rPr>
      </w:pPr>
    </w:p>
    <w:p w:rsidR="0079289B" w:rsidRPr="00FA2571" w:rsidRDefault="0079289B" w:rsidP="003E47BD">
      <w:pPr>
        <w:spacing w:after="0" w:line="360" w:lineRule="auto"/>
        <w:jc w:val="both"/>
        <w:rPr>
          <w:rFonts w:ascii="Times New Roman" w:hAnsi="Times New Roman" w:cs="Times New Roman"/>
          <w:sz w:val="24"/>
          <w:szCs w:val="24"/>
        </w:rPr>
      </w:pPr>
      <w:r w:rsidRPr="00FA2571">
        <w:rPr>
          <w:rFonts w:ascii="Times New Roman" w:hAnsi="Times New Roman" w:cs="Times New Roman"/>
          <w:sz w:val="24"/>
          <w:szCs w:val="24"/>
        </w:rPr>
        <w:t>4.</w:t>
      </w:r>
      <w:r w:rsidRPr="00FA2571">
        <w:rPr>
          <w:rFonts w:ascii="Times New Roman" w:hAnsi="Times New Roman" w:cs="Times New Roman"/>
          <w:sz w:val="24"/>
          <w:szCs w:val="24"/>
        </w:rPr>
        <w:tab/>
        <w:t xml:space="preserve">Sarà l’Europa capace di raccogliere la sfida del nuovo Umanesimo? Sarà cioè capace di tornare a parlare il linguaggio del bene comune, così da essere in grado di andare oltre i pur notevoli risultati finora raggiunti sul fronte del mercato </w:t>
      </w:r>
      <w:r w:rsidR="00FA2571" w:rsidRPr="00FA2571">
        <w:rPr>
          <w:rFonts w:ascii="Times New Roman" w:hAnsi="Times New Roman" w:cs="Times New Roman"/>
          <w:sz w:val="24"/>
          <w:szCs w:val="24"/>
        </w:rPr>
        <w:t>unico, della moneta unica, della unione bancaria</w:t>
      </w:r>
      <w:r w:rsidRPr="00FA2571">
        <w:rPr>
          <w:rFonts w:ascii="Times New Roman" w:hAnsi="Times New Roman" w:cs="Times New Roman"/>
          <w:sz w:val="24"/>
          <w:szCs w:val="24"/>
        </w:rPr>
        <w:t xml:space="preserve">? La </w:t>
      </w:r>
      <w:r w:rsidR="00FA2571" w:rsidRPr="00FA2571">
        <w:rPr>
          <w:rFonts w:ascii="Times New Roman" w:hAnsi="Times New Roman" w:cs="Times New Roman"/>
          <w:sz w:val="24"/>
          <w:szCs w:val="24"/>
        </w:rPr>
        <w:t xml:space="preserve">mia </w:t>
      </w:r>
      <w:r w:rsidRPr="00FA2571">
        <w:rPr>
          <w:rFonts w:ascii="Times New Roman" w:hAnsi="Times New Roman" w:cs="Times New Roman"/>
          <w:sz w:val="24"/>
          <w:szCs w:val="24"/>
        </w:rPr>
        <w:t xml:space="preserve">risposta è positiva. Il fatto è che – come è stato da più parti osservato – tratto caratteristico dell’Europa è sempre stato la sua capacità di trasformare, più o meno in profondità, le sue strutture giuridiche, politiche ed economiche per renderle adeguate ad interpretare l’emergenza del nuovo. E’ il mutamento continuo la cifra della matrice culturale europea a partire almeno dalla rivoluzione pontificia del 1075-1122 ad opera di Gregorio VII. Questa matrice ha sempre tratto da una precisa opzione teologica – quella di chi vede l’umano e il temporale come via e non già come ostacolo per la salvezza – la linfa necessaria alle sue realizzazioni. Si tratta di una opzione antica che risale ai Padri della Chiesa che chiamavano l’Incarnazione un </w:t>
      </w:r>
      <w:r w:rsidRPr="00FA2571">
        <w:rPr>
          <w:rFonts w:ascii="Times New Roman" w:hAnsi="Times New Roman" w:cs="Times New Roman"/>
          <w:i/>
          <w:sz w:val="24"/>
          <w:szCs w:val="24"/>
        </w:rPr>
        <w:t>Sacrum Commercium</w:t>
      </w:r>
      <w:r w:rsidRPr="00FA2571">
        <w:rPr>
          <w:rFonts w:ascii="Times New Roman" w:hAnsi="Times New Roman" w:cs="Times New Roman"/>
          <w:sz w:val="24"/>
          <w:szCs w:val="24"/>
        </w:rPr>
        <w:t xml:space="preserve"> per sottolineare il rapporto di reciprocità profonda tra l’umano e il divino e soprattutto per sottolineare che il Dio cristiano è un Dio di uomini che vivono nella storia e che si interessa, anzi si commuove, per la loro condizione umana.</w:t>
      </w:r>
    </w:p>
    <w:p w:rsidR="00FD4334" w:rsidRPr="00FA2571" w:rsidRDefault="0079289B" w:rsidP="003E47BD">
      <w:pPr>
        <w:spacing w:line="360" w:lineRule="auto"/>
        <w:jc w:val="both"/>
        <w:rPr>
          <w:rFonts w:ascii="Times New Roman" w:hAnsi="Times New Roman" w:cs="Times New Roman"/>
          <w:sz w:val="24"/>
          <w:szCs w:val="24"/>
        </w:rPr>
      </w:pPr>
      <w:r w:rsidRPr="00FA2571">
        <w:rPr>
          <w:rFonts w:ascii="Times New Roman" w:hAnsi="Times New Roman" w:cs="Times New Roman"/>
          <w:sz w:val="24"/>
          <w:szCs w:val="24"/>
        </w:rPr>
        <w:lastRenderedPageBreak/>
        <w:tab/>
        <w:t xml:space="preserve">Dire che l’Europa ha necessità, in questo tempo, di un supplemento di anima è dire una banalità, tanto è avvertita quella necessità. A tale riguardo, viene talvolta citato l’apologo di Soeren Kierkegaard: “La nave è in mano al cuoco di bordo e ciò che trasmette il megafono del comandante non è la rotta, ma ciò che mangeremo domani”. In effetti, manca in Europa una “voce” che indichi la rotta, che suggerisca la via per giungere in porto. Non è affatto detto che questa voce non possa presto essere udita. Occorre però fare tesoro della raccomandazione di Franz Kafka che in un suo noto romanzo ha scritto: “Due sono i peccati capitali da cui derivano gli errori umani: l’impazienza e l’inerzia. A causa dell’impazienza </w:t>
      </w:r>
      <w:r w:rsidR="0077260E" w:rsidRPr="00FA2571">
        <w:rPr>
          <w:rFonts w:ascii="Times New Roman" w:hAnsi="Times New Roman" w:cs="Times New Roman"/>
          <w:sz w:val="24"/>
          <w:szCs w:val="24"/>
        </w:rPr>
        <w:t xml:space="preserve"> </w:t>
      </w:r>
      <w:r w:rsidRPr="00FA2571">
        <w:rPr>
          <w:rFonts w:ascii="Times New Roman" w:hAnsi="Times New Roman" w:cs="Times New Roman"/>
          <w:sz w:val="24"/>
          <w:szCs w:val="24"/>
        </w:rPr>
        <w:t>siamo stati cacciati dal paradiso terrestre; a causa dell’inerzia [dell’accidia] non riusciamo più ad entrarci”. Parole queste che si commentano da sole.</w:t>
      </w:r>
      <w:r w:rsidR="00FD4334" w:rsidRPr="00FA2571">
        <w:rPr>
          <w:rFonts w:ascii="Times New Roman" w:hAnsi="Times New Roman" w:cs="Times New Roman"/>
          <w:sz w:val="24"/>
          <w:szCs w:val="24"/>
        </w:rPr>
        <w:t xml:space="preserve"> </w:t>
      </w:r>
    </w:p>
    <w:sectPr w:rsidR="00FD4334" w:rsidRPr="00FA2571" w:rsidSect="003E47BD">
      <w:footerReference w:type="default" r:id="rId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B4" w:rsidRDefault="007E6AB4" w:rsidP="001A1452">
      <w:pPr>
        <w:spacing w:after="0" w:line="240" w:lineRule="auto"/>
      </w:pPr>
      <w:r>
        <w:separator/>
      </w:r>
    </w:p>
  </w:endnote>
  <w:endnote w:type="continuationSeparator" w:id="0">
    <w:p w:rsidR="007E6AB4" w:rsidRDefault="007E6AB4" w:rsidP="001A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58579"/>
      <w:docPartObj>
        <w:docPartGallery w:val="Page Numbers (Bottom of Page)"/>
        <w:docPartUnique/>
      </w:docPartObj>
    </w:sdtPr>
    <w:sdtEndPr/>
    <w:sdtContent>
      <w:p w:rsidR="00FA2571" w:rsidRDefault="00FA2571">
        <w:pPr>
          <w:pStyle w:val="Pidipagina"/>
          <w:jc w:val="right"/>
        </w:pPr>
        <w:r>
          <w:fldChar w:fldCharType="begin"/>
        </w:r>
        <w:r>
          <w:instrText>PAGE   \* MERGEFORMAT</w:instrText>
        </w:r>
        <w:r>
          <w:fldChar w:fldCharType="separate"/>
        </w:r>
        <w:r w:rsidR="002C422E">
          <w:rPr>
            <w:noProof/>
          </w:rPr>
          <w:t>1</w:t>
        </w:r>
        <w:r>
          <w:fldChar w:fldCharType="end"/>
        </w:r>
      </w:p>
    </w:sdtContent>
  </w:sdt>
  <w:p w:rsidR="00FA2571" w:rsidRDefault="00FA25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B4" w:rsidRDefault="007E6AB4" w:rsidP="001A1452">
      <w:pPr>
        <w:spacing w:after="0" w:line="240" w:lineRule="auto"/>
      </w:pPr>
      <w:r>
        <w:separator/>
      </w:r>
    </w:p>
  </w:footnote>
  <w:footnote w:type="continuationSeparator" w:id="0">
    <w:p w:rsidR="007E6AB4" w:rsidRDefault="007E6AB4" w:rsidP="001A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3AD"/>
    <w:multiLevelType w:val="multilevel"/>
    <w:tmpl w:val="04100029"/>
    <w:lvl w:ilvl="0">
      <w:start w:val="1"/>
      <w:numFmt w:val="decimal"/>
      <w:pStyle w:val="Titolo1"/>
      <w:suff w:val="space"/>
      <w:lvlText w:val="Capitolo %1"/>
      <w:lvlJc w:val="left"/>
      <w:pPr>
        <w:ind w:left="0" w:firstLine="0"/>
      </w:pPr>
      <w:rPr>
        <w:rFonts w:hint="default"/>
      </w:r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
    <w:nsid w:val="31DA2CFD"/>
    <w:multiLevelType w:val="hybridMultilevel"/>
    <w:tmpl w:val="924CD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5F50BD"/>
    <w:multiLevelType w:val="hybridMultilevel"/>
    <w:tmpl w:val="40346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0332ED"/>
    <w:multiLevelType w:val="hybridMultilevel"/>
    <w:tmpl w:val="27F68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087E2D"/>
    <w:multiLevelType w:val="hybridMultilevel"/>
    <w:tmpl w:val="BAFA7E0E"/>
    <w:lvl w:ilvl="0" w:tplc="27B007B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nsid w:val="76EB5A50"/>
    <w:multiLevelType w:val="hybridMultilevel"/>
    <w:tmpl w:val="3D1CD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455312"/>
    <w:multiLevelType w:val="hybridMultilevel"/>
    <w:tmpl w:val="78E6A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E3"/>
    <w:rsid w:val="001A1452"/>
    <w:rsid w:val="002267F4"/>
    <w:rsid w:val="002C422E"/>
    <w:rsid w:val="00311AE3"/>
    <w:rsid w:val="003E47BD"/>
    <w:rsid w:val="00556C48"/>
    <w:rsid w:val="00662AE4"/>
    <w:rsid w:val="006A0D7E"/>
    <w:rsid w:val="006F7506"/>
    <w:rsid w:val="00771311"/>
    <w:rsid w:val="0077260E"/>
    <w:rsid w:val="0077634D"/>
    <w:rsid w:val="0079289B"/>
    <w:rsid w:val="007E6AB4"/>
    <w:rsid w:val="008D6FCE"/>
    <w:rsid w:val="008E1112"/>
    <w:rsid w:val="00953783"/>
    <w:rsid w:val="00AC1899"/>
    <w:rsid w:val="00B57C7D"/>
    <w:rsid w:val="00E320EB"/>
    <w:rsid w:val="00E340F3"/>
    <w:rsid w:val="00FA2571"/>
    <w:rsid w:val="00FD4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47B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E47B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E47B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E47B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E47B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E47B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E47B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E47B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E47B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1AE3"/>
    <w:pPr>
      <w:ind w:left="720"/>
      <w:contextualSpacing/>
    </w:pPr>
  </w:style>
  <w:style w:type="paragraph" w:styleId="Testonotaapidipagina">
    <w:name w:val="footnote text"/>
    <w:basedOn w:val="Normale"/>
    <w:link w:val="TestonotaapidipaginaCarattere"/>
    <w:semiHidden/>
    <w:rsid w:val="001A145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A145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A1452"/>
    <w:rPr>
      <w:vertAlign w:val="superscript"/>
    </w:rPr>
  </w:style>
  <w:style w:type="paragraph" w:styleId="Testonormale">
    <w:name w:val="Plain Text"/>
    <w:basedOn w:val="Normale"/>
    <w:link w:val="TestonormaleCarattere"/>
    <w:rsid w:val="0079289B"/>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79289B"/>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FA25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571"/>
  </w:style>
  <w:style w:type="paragraph" w:styleId="Pidipagina">
    <w:name w:val="footer"/>
    <w:basedOn w:val="Normale"/>
    <w:link w:val="PidipaginaCarattere"/>
    <w:uiPriority w:val="99"/>
    <w:unhideWhenUsed/>
    <w:rsid w:val="00FA25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571"/>
  </w:style>
  <w:style w:type="paragraph" w:styleId="Nessunaspaziatura">
    <w:name w:val="No Spacing"/>
    <w:uiPriority w:val="1"/>
    <w:qFormat/>
    <w:rsid w:val="00FA2571"/>
    <w:pPr>
      <w:spacing w:after="0" w:line="240" w:lineRule="auto"/>
    </w:pPr>
  </w:style>
  <w:style w:type="character" w:customStyle="1" w:styleId="Titolo1Carattere">
    <w:name w:val="Titolo 1 Carattere"/>
    <w:basedOn w:val="Carpredefinitoparagrafo"/>
    <w:link w:val="Titolo1"/>
    <w:uiPriority w:val="9"/>
    <w:rsid w:val="003E47B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E47B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E47B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E47B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E47B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E47B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E47B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E47B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E47BD"/>
    <w:rPr>
      <w:rFonts w:asciiTheme="majorHAnsi" w:eastAsiaTheme="majorEastAsia" w:hAnsiTheme="majorHAnsi" w:cstheme="majorBidi"/>
      <w:i/>
      <w:iCs/>
      <w:color w:val="404040" w:themeColor="text1" w:themeTint="BF"/>
      <w:sz w:val="20"/>
      <w:szCs w:val="20"/>
    </w:rPr>
  </w:style>
  <w:style w:type="paragraph" w:styleId="Testofumetto">
    <w:name w:val="Balloon Text"/>
    <w:basedOn w:val="Normale"/>
    <w:link w:val="TestofumettoCarattere"/>
    <w:uiPriority w:val="99"/>
    <w:semiHidden/>
    <w:unhideWhenUsed/>
    <w:rsid w:val="002C42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47B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E47B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E47B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E47B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E47B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E47B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E47B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E47B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E47B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1AE3"/>
    <w:pPr>
      <w:ind w:left="720"/>
      <w:contextualSpacing/>
    </w:pPr>
  </w:style>
  <w:style w:type="paragraph" w:styleId="Testonotaapidipagina">
    <w:name w:val="footnote text"/>
    <w:basedOn w:val="Normale"/>
    <w:link w:val="TestonotaapidipaginaCarattere"/>
    <w:semiHidden/>
    <w:rsid w:val="001A145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A145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A1452"/>
    <w:rPr>
      <w:vertAlign w:val="superscript"/>
    </w:rPr>
  </w:style>
  <w:style w:type="paragraph" w:styleId="Testonormale">
    <w:name w:val="Plain Text"/>
    <w:basedOn w:val="Normale"/>
    <w:link w:val="TestonormaleCarattere"/>
    <w:rsid w:val="0079289B"/>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79289B"/>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FA25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571"/>
  </w:style>
  <w:style w:type="paragraph" w:styleId="Pidipagina">
    <w:name w:val="footer"/>
    <w:basedOn w:val="Normale"/>
    <w:link w:val="PidipaginaCarattere"/>
    <w:uiPriority w:val="99"/>
    <w:unhideWhenUsed/>
    <w:rsid w:val="00FA25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571"/>
  </w:style>
  <w:style w:type="paragraph" w:styleId="Nessunaspaziatura">
    <w:name w:val="No Spacing"/>
    <w:uiPriority w:val="1"/>
    <w:qFormat/>
    <w:rsid w:val="00FA2571"/>
    <w:pPr>
      <w:spacing w:after="0" w:line="240" w:lineRule="auto"/>
    </w:pPr>
  </w:style>
  <w:style w:type="character" w:customStyle="1" w:styleId="Titolo1Carattere">
    <w:name w:val="Titolo 1 Carattere"/>
    <w:basedOn w:val="Carpredefinitoparagrafo"/>
    <w:link w:val="Titolo1"/>
    <w:uiPriority w:val="9"/>
    <w:rsid w:val="003E47B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E47B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E47B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E47B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E47B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E47B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E47B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E47B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E47BD"/>
    <w:rPr>
      <w:rFonts w:asciiTheme="majorHAnsi" w:eastAsiaTheme="majorEastAsia" w:hAnsiTheme="majorHAnsi" w:cstheme="majorBidi"/>
      <w:i/>
      <w:iCs/>
      <w:color w:val="404040" w:themeColor="text1" w:themeTint="BF"/>
      <w:sz w:val="20"/>
      <w:szCs w:val="20"/>
    </w:rPr>
  </w:style>
  <w:style w:type="paragraph" w:styleId="Testofumetto">
    <w:name w:val="Balloon Text"/>
    <w:basedOn w:val="Normale"/>
    <w:link w:val="TestofumettoCarattere"/>
    <w:uiPriority w:val="99"/>
    <w:semiHidden/>
    <w:unhideWhenUsed/>
    <w:rsid w:val="002C42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16198</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Bordoni</dc:creator>
  <cp:lastModifiedBy>Gloria</cp:lastModifiedBy>
  <cp:revision>2</cp:revision>
  <cp:lastPrinted>2016-03-14T09:28:00Z</cp:lastPrinted>
  <dcterms:created xsi:type="dcterms:W3CDTF">2016-03-14T09:29:00Z</dcterms:created>
  <dcterms:modified xsi:type="dcterms:W3CDTF">2016-03-14T09:29:00Z</dcterms:modified>
</cp:coreProperties>
</file>